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04DE" w:rsidRDefault="006E5D18" w:rsidP="00E204DE">
      <w:pPr>
        <w:spacing w:after="0"/>
        <w:jc w:val="center"/>
        <w:rPr>
          <w:rFonts w:ascii="Arial" w:hAnsi="Arial" w:cs="Arial"/>
          <w:b/>
          <w:sz w:val="24"/>
        </w:rPr>
      </w:pPr>
      <w:r w:rsidRPr="00E204DE">
        <w:rPr>
          <w:rFonts w:ascii="Arial" w:hAnsi="Arial" w:cs="Arial"/>
          <w:b/>
          <w:sz w:val="24"/>
        </w:rPr>
        <w:t xml:space="preserve">NHS </w:t>
      </w:r>
      <w:r w:rsidR="00655810" w:rsidRPr="00E204DE">
        <w:rPr>
          <w:rFonts w:ascii="Arial" w:hAnsi="Arial" w:cs="Arial"/>
          <w:b/>
          <w:sz w:val="24"/>
        </w:rPr>
        <w:t xml:space="preserve">Golden Jubilee </w:t>
      </w:r>
      <w:r w:rsidRPr="00E204DE">
        <w:rPr>
          <w:rFonts w:ascii="Arial" w:hAnsi="Arial" w:cs="Arial"/>
          <w:b/>
          <w:sz w:val="24"/>
        </w:rPr>
        <w:t xml:space="preserve">Governance </w:t>
      </w:r>
      <w:r w:rsidR="00655810" w:rsidRPr="00E204DE">
        <w:rPr>
          <w:rFonts w:ascii="Arial" w:hAnsi="Arial" w:cs="Arial"/>
          <w:b/>
          <w:sz w:val="24"/>
        </w:rPr>
        <w:t>Assurance Statement</w:t>
      </w:r>
    </w:p>
    <w:p w:rsidR="00CF5045" w:rsidRDefault="00655810" w:rsidP="00E204DE">
      <w:pPr>
        <w:spacing w:after="0"/>
        <w:jc w:val="center"/>
        <w:rPr>
          <w:rFonts w:ascii="Arial" w:hAnsi="Arial" w:cs="Arial"/>
          <w:b/>
          <w:sz w:val="24"/>
        </w:rPr>
      </w:pPr>
      <w:r w:rsidRPr="00E204DE">
        <w:rPr>
          <w:rFonts w:ascii="Arial" w:hAnsi="Arial" w:cs="Arial"/>
          <w:b/>
          <w:sz w:val="24"/>
        </w:rPr>
        <w:t>Centre for Sustainable Delivery</w:t>
      </w:r>
    </w:p>
    <w:p w:rsidR="00E204DE" w:rsidRPr="00E204DE" w:rsidRDefault="00E204DE" w:rsidP="00AC2EB4">
      <w:pPr>
        <w:spacing w:after="0"/>
        <w:rPr>
          <w:rFonts w:ascii="Arial" w:hAnsi="Arial" w:cs="Arial"/>
          <w:b/>
          <w:sz w:val="24"/>
        </w:rPr>
      </w:pPr>
    </w:p>
    <w:p w:rsidR="00655810" w:rsidRDefault="00E204DE" w:rsidP="00E204DE">
      <w:pPr>
        <w:spacing w:after="0"/>
        <w:rPr>
          <w:rFonts w:ascii="Arial" w:hAnsi="Arial" w:cs="Arial"/>
        </w:rPr>
      </w:pPr>
      <w:r w:rsidRPr="00E204DE">
        <w:rPr>
          <w:rFonts w:ascii="Arial" w:hAnsi="Arial" w:cs="Arial"/>
        </w:rPr>
        <w:t xml:space="preserve">The </w:t>
      </w:r>
      <w:r w:rsidR="00655810" w:rsidRPr="00E204DE">
        <w:rPr>
          <w:rFonts w:ascii="Arial" w:hAnsi="Arial" w:cs="Arial"/>
        </w:rPr>
        <w:t>Strategic Portfolio Governance Committee</w:t>
      </w:r>
      <w:r w:rsidRPr="00E204DE">
        <w:rPr>
          <w:rFonts w:ascii="Arial" w:hAnsi="Arial" w:cs="Arial"/>
        </w:rPr>
        <w:t xml:space="preserve"> </w:t>
      </w:r>
      <w:r>
        <w:rPr>
          <w:rFonts w:ascii="Arial" w:hAnsi="Arial" w:cs="Arial"/>
        </w:rPr>
        <w:t>is</w:t>
      </w:r>
      <w:r w:rsidR="00634E1B">
        <w:rPr>
          <w:rFonts w:ascii="Arial" w:hAnsi="Arial" w:cs="Arial"/>
        </w:rPr>
        <w:t xml:space="preserve"> a formal committee of the NHS Golden Jubilee Board. </w:t>
      </w:r>
      <w:r>
        <w:rPr>
          <w:rFonts w:ascii="Arial" w:hAnsi="Arial" w:cs="Arial"/>
        </w:rPr>
        <w:t xml:space="preserve"> </w:t>
      </w:r>
      <w:r w:rsidR="00655810" w:rsidRPr="00E204DE">
        <w:rPr>
          <w:rFonts w:ascii="Arial" w:hAnsi="Arial" w:cs="Arial"/>
        </w:rPr>
        <w:t>One key function of the Committee is to review, monitor and assure Centre for Sustainable Delivery (CfSD) performance against the CfSD Annual Work Plan. It is not a requirement of the Committee to set the strategic direction</w:t>
      </w:r>
      <w:r w:rsidR="006E5D18" w:rsidRPr="00E204DE">
        <w:rPr>
          <w:rFonts w:ascii="Arial" w:hAnsi="Arial" w:cs="Arial"/>
        </w:rPr>
        <w:t xml:space="preserve"> or workplan</w:t>
      </w:r>
      <w:r w:rsidR="00655810" w:rsidRPr="00E204DE">
        <w:rPr>
          <w:rFonts w:ascii="Arial" w:hAnsi="Arial" w:cs="Arial"/>
        </w:rPr>
        <w:t xml:space="preserve"> for the CfSD – this is </w:t>
      </w:r>
      <w:r w:rsidR="006E5D18" w:rsidRPr="00E204DE">
        <w:rPr>
          <w:rFonts w:ascii="Arial" w:hAnsi="Arial" w:cs="Arial"/>
        </w:rPr>
        <w:t>commissioned</w:t>
      </w:r>
      <w:r w:rsidR="00655810" w:rsidRPr="00E204DE">
        <w:rPr>
          <w:rFonts w:ascii="Arial" w:hAnsi="Arial" w:cs="Arial"/>
        </w:rPr>
        <w:t xml:space="preserve"> by the Scottish Government. </w:t>
      </w:r>
    </w:p>
    <w:p w:rsidR="00920253" w:rsidRPr="00E204DE" w:rsidRDefault="00920253" w:rsidP="00E204DE">
      <w:pPr>
        <w:spacing w:after="0"/>
        <w:rPr>
          <w:rFonts w:ascii="Arial" w:hAnsi="Arial" w:cs="Arial"/>
        </w:rPr>
      </w:pPr>
      <w:bookmarkStart w:id="0" w:name="_GoBack"/>
      <w:bookmarkEnd w:id="0"/>
    </w:p>
    <w:p w:rsidR="00655810" w:rsidRPr="00E204DE" w:rsidRDefault="00655810" w:rsidP="00E204DE">
      <w:pPr>
        <w:spacing w:after="0"/>
        <w:rPr>
          <w:rFonts w:ascii="Arial" w:hAnsi="Arial" w:cs="Arial"/>
          <w:b/>
        </w:rPr>
      </w:pPr>
      <w:r w:rsidRPr="00E204DE">
        <w:rPr>
          <w:rFonts w:ascii="Arial" w:hAnsi="Arial" w:cs="Arial"/>
          <w:b/>
        </w:rPr>
        <w:t xml:space="preserve">Assurance Statement – </w:t>
      </w:r>
      <w:r w:rsidR="00A41770">
        <w:rPr>
          <w:rFonts w:ascii="Arial" w:hAnsi="Arial" w:cs="Arial"/>
          <w:b/>
        </w:rPr>
        <w:t>4</w:t>
      </w:r>
      <w:r w:rsidR="00A41770" w:rsidRPr="00A41770">
        <w:rPr>
          <w:rFonts w:ascii="Arial" w:hAnsi="Arial" w:cs="Arial"/>
          <w:b/>
          <w:vertAlign w:val="superscript"/>
        </w:rPr>
        <w:t>th</w:t>
      </w:r>
      <w:r w:rsidR="00A41770">
        <w:rPr>
          <w:rFonts w:ascii="Arial" w:hAnsi="Arial" w:cs="Arial"/>
          <w:b/>
        </w:rPr>
        <w:t xml:space="preserve"> November</w:t>
      </w:r>
      <w:r w:rsidRPr="00E204DE">
        <w:rPr>
          <w:rFonts w:ascii="Arial" w:hAnsi="Arial" w:cs="Arial"/>
          <w:b/>
        </w:rPr>
        <w:t xml:space="preserve"> 2021</w:t>
      </w:r>
    </w:p>
    <w:p w:rsidR="00920253" w:rsidRDefault="00920253" w:rsidP="00E204DE">
      <w:pPr>
        <w:spacing w:after="0"/>
        <w:rPr>
          <w:rFonts w:ascii="Arial" w:hAnsi="Arial" w:cs="Arial"/>
        </w:rPr>
      </w:pPr>
    </w:p>
    <w:p w:rsidR="00655810" w:rsidRPr="00E204DE" w:rsidRDefault="00655810" w:rsidP="00E204DE">
      <w:pPr>
        <w:spacing w:after="0"/>
        <w:rPr>
          <w:rFonts w:ascii="Arial" w:hAnsi="Arial" w:cs="Arial"/>
        </w:rPr>
      </w:pPr>
      <w:r w:rsidRPr="00E204DE">
        <w:rPr>
          <w:rFonts w:ascii="Arial" w:hAnsi="Arial" w:cs="Arial"/>
        </w:rPr>
        <w:t xml:space="preserve">On the </w:t>
      </w:r>
      <w:r w:rsidR="00A41770">
        <w:rPr>
          <w:rFonts w:ascii="Arial" w:hAnsi="Arial" w:cs="Arial"/>
        </w:rPr>
        <w:t>4 November</w:t>
      </w:r>
      <w:r w:rsidRPr="00E204DE">
        <w:rPr>
          <w:rFonts w:ascii="Arial" w:hAnsi="Arial" w:cs="Arial"/>
        </w:rPr>
        <w:t xml:space="preserve"> 2021, the CfSD Team provided an update to the SPGC. The update covered the following topics and feedback and observations are reflected within this statement:</w:t>
      </w:r>
    </w:p>
    <w:p w:rsidR="00920253" w:rsidRDefault="00920253" w:rsidP="00E204DE">
      <w:pPr>
        <w:spacing w:after="0"/>
        <w:rPr>
          <w:rFonts w:ascii="Arial" w:hAnsi="Arial" w:cs="Arial"/>
          <w:b/>
        </w:rPr>
      </w:pPr>
    </w:p>
    <w:p w:rsidR="00655810" w:rsidRPr="00E204DE" w:rsidRDefault="00A41770" w:rsidP="00E204DE">
      <w:pPr>
        <w:spacing w:after="0"/>
        <w:rPr>
          <w:rFonts w:ascii="Arial" w:hAnsi="Arial" w:cs="Arial"/>
          <w:b/>
        </w:rPr>
      </w:pPr>
      <w:r>
        <w:rPr>
          <w:rFonts w:ascii="Arial" w:hAnsi="Arial" w:cs="Arial"/>
          <w:b/>
        </w:rPr>
        <w:t>Workforce and Organisational Change</w:t>
      </w:r>
    </w:p>
    <w:p w:rsidR="00920253" w:rsidRDefault="00920253" w:rsidP="00E204DE">
      <w:pPr>
        <w:spacing w:after="0"/>
        <w:rPr>
          <w:rFonts w:ascii="Arial" w:hAnsi="Arial" w:cs="Arial"/>
        </w:rPr>
      </w:pPr>
    </w:p>
    <w:p w:rsidR="00A41770" w:rsidRPr="006A5C7C" w:rsidRDefault="00A41770" w:rsidP="00A41770">
      <w:pPr>
        <w:rPr>
          <w:rFonts w:ascii="Arial" w:hAnsi="Arial" w:cs="Arial"/>
        </w:rPr>
      </w:pPr>
      <w:r>
        <w:rPr>
          <w:rFonts w:ascii="Arial" w:hAnsi="Arial" w:cs="Arial"/>
        </w:rPr>
        <w:t xml:space="preserve">An update was provided on </w:t>
      </w:r>
      <w:r w:rsidRPr="006A5C7C">
        <w:rPr>
          <w:rFonts w:ascii="Arial" w:hAnsi="Arial" w:cs="Arial"/>
        </w:rPr>
        <w:t>the following workforce changes and developments:</w:t>
      </w:r>
    </w:p>
    <w:p w:rsidR="00A41770" w:rsidRPr="006A5C7C" w:rsidRDefault="00A41770" w:rsidP="00A41770">
      <w:pPr>
        <w:pStyle w:val="ListParagraph"/>
        <w:numPr>
          <w:ilvl w:val="0"/>
          <w:numId w:val="6"/>
        </w:numPr>
        <w:spacing w:after="0" w:line="240" w:lineRule="auto"/>
        <w:contextualSpacing w:val="0"/>
        <w:rPr>
          <w:rFonts w:ascii="Arial" w:hAnsi="Arial" w:cs="Arial"/>
          <w:b/>
        </w:rPr>
      </w:pPr>
      <w:r w:rsidRPr="006A5C7C">
        <w:rPr>
          <w:rFonts w:ascii="Arial" w:hAnsi="Arial" w:cs="Arial"/>
        </w:rPr>
        <w:t>Organisational change to restructure workforce including changes to senior management and team structures, existing job descriptions and creation of new posts</w:t>
      </w:r>
    </w:p>
    <w:p w:rsidR="00A41770" w:rsidRPr="006A5C7C" w:rsidRDefault="00A41770" w:rsidP="00A41770">
      <w:pPr>
        <w:pStyle w:val="ListParagraph"/>
        <w:numPr>
          <w:ilvl w:val="0"/>
          <w:numId w:val="6"/>
        </w:numPr>
        <w:spacing w:after="0" w:line="240" w:lineRule="auto"/>
        <w:contextualSpacing w:val="0"/>
        <w:rPr>
          <w:rFonts w:ascii="Arial" w:hAnsi="Arial" w:cs="Arial"/>
          <w:b/>
        </w:rPr>
      </w:pPr>
      <w:r w:rsidRPr="006A5C7C">
        <w:rPr>
          <w:rFonts w:ascii="Arial" w:hAnsi="Arial" w:cs="Arial"/>
        </w:rPr>
        <w:t>Transfer from Scottish Government IT and data systems to NHS Golden Jubilee IT and data systems where required</w:t>
      </w:r>
    </w:p>
    <w:p w:rsidR="00A41770" w:rsidRPr="00A41770" w:rsidRDefault="00A41770" w:rsidP="00A41770">
      <w:pPr>
        <w:pStyle w:val="ListParagraph"/>
        <w:numPr>
          <w:ilvl w:val="0"/>
          <w:numId w:val="6"/>
        </w:numPr>
        <w:spacing w:after="0" w:line="240" w:lineRule="auto"/>
        <w:contextualSpacing w:val="0"/>
        <w:rPr>
          <w:rFonts w:ascii="Arial" w:hAnsi="Arial" w:cs="Arial"/>
          <w:b/>
        </w:rPr>
      </w:pPr>
      <w:r w:rsidRPr="006A5C7C">
        <w:rPr>
          <w:rFonts w:ascii="Arial" w:hAnsi="Arial" w:cs="Arial"/>
        </w:rPr>
        <w:t>Refresh of HR agreements between Scottish Government and NHS Golden Jubilee for individuals continuing to work for Scottish Government and use Scottish Government IT and data systems</w:t>
      </w:r>
    </w:p>
    <w:p w:rsidR="00A41770" w:rsidRPr="00A41770" w:rsidRDefault="00A41770" w:rsidP="00A41770">
      <w:pPr>
        <w:pStyle w:val="ListParagraph"/>
        <w:numPr>
          <w:ilvl w:val="0"/>
          <w:numId w:val="6"/>
        </w:numPr>
        <w:spacing w:after="0" w:line="240" w:lineRule="auto"/>
        <w:contextualSpacing w:val="0"/>
        <w:rPr>
          <w:rFonts w:ascii="Arial" w:hAnsi="Arial" w:cs="Arial"/>
          <w:b/>
        </w:rPr>
      </w:pPr>
      <w:r>
        <w:rPr>
          <w:rFonts w:ascii="Arial" w:hAnsi="Arial" w:cs="Arial"/>
        </w:rPr>
        <w:t>Recruitment of a number of clinical and managerial posts to grow the capacity and internal infrastructure required to deliver CfSD priorities</w:t>
      </w:r>
    </w:p>
    <w:p w:rsidR="00A41770" w:rsidRDefault="00A41770" w:rsidP="00A41770">
      <w:pPr>
        <w:spacing w:after="0" w:line="240" w:lineRule="auto"/>
        <w:rPr>
          <w:rFonts w:ascii="Arial" w:hAnsi="Arial" w:cs="Arial"/>
          <w:b/>
        </w:rPr>
      </w:pPr>
    </w:p>
    <w:p w:rsidR="00A41770" w:rsidRPr="00A41770" w:rsidRDefault="00A41770" w:rsidP="00A41770">
      <w:pPr>
        <w:spacing w:after="0" w:line="240" w:lineRule="auto"/>
        <w:rPr>
          <w:rFonts w:ascii="Arial" w:hAnsi="Arial" w:cs="Arial"/>
          <w:b/>
        </w:rPr>
      </w:pPr>
      <w:r>
        <w:rPr>
          <w:rFonts w:ascii="Arial" w:hAnsi="Arial" w:cs="Arial"/>
        </w:rPr>
        <w:t>The SPGC noted progress against the organisational change processes and welcomed the addition of th</w:t>
      </w:r>
      <w:r w:rsidR="00295886">
        <w:rPr>
          <w:rFonts w:ascii="Arial" w:hAnsi="Arial" w:cs="Arial"/>
        </w:rPr>
        <w:t xml:space="preserve">e new appointments to the team. </w:t>
      </w:r>
    </w:p>
    <w:p w:rsidR="00920253" w:rsidRPr="00E204DE" w:rsidRDefault="00920253" w:rsidP="00E204DE">
      <w:pPr>
        <w:pStyle w:val="ListParagraph"/>
        <w:spacing w:after="0"/>
        <w:ind w:left="360"/>
        <w:rPr>
          <w:rFonts w:ascii="Arial" w:hAnsi="Arial" w:cs="Arial"/>
        </w:rPr>
      </w:pPr>
    </w:p>
    <w:p w:rsidR="00D813ED" w:rsidRDefault="00A41770" w:rsidP="00E204DE">
      <w:pPr>
        <w:spacing w:after="0"/>
        <w:rPr>
          <w:rFonts w:ascii="Arial" w:hAnsi="Arial" w:cs="Arial"/>
          <w:b/>
        </w:rPr>
      </w:pPr>
      <w:proofErr w:type="spellStart"/>
      <w:r>
        <w:rPr>
          <w:rFonts w:ascii="Arial" w:hAnsi="Arial" w:cs="Arial"/>
          <w:b/>
        </w:rPr>
        <w:t>Mid Year</w:t>
      </w:r>
      <w:proofErr w:type="spellEnd"/>
      <w:r>
        <w:rPr>
          <w:rFonts w:ascii="Arial" w:hAnsi="Arial" w:cs="Arial"/>
          <w:b/>
        </w:rPr>
        <w:t xml:space="preserve"> Update</w:t>
      </w:r>
    </w:p>
    <w:p w:rsidR="00920253" w:rsidRPr="00E204DE" w:rsidRDefault="00920253" w:rsidP="00E204DE">
      <w:pPr>
        <w:spacing w:after="0"/>
        <w:rPr>
          <w:rFonts w:ascii="Arial" w:hAnsi="Arial" w:cs="Arial"/>
          <w:b/>
        </w:rPr>
      </w:pPr>
    </w:p>
    <w:p w:rsidR="00A41770" w:rsidRDefault="00A41770" w:rsidP="00E204DE">
      <w:pPr>
        <w:spacing w:after="0"/>
        <w:rPr>
          <w:rFonts w:ascii="Arial" w:hAnsi="Arial" w:cs="Arial"/>
        </w:rPr>
      </w:pPr>
      <w:r>
        <w:rPr>
          <w:rFonts w:ascii="Arial" w:hAnsi="Arial" w:cs="Arial"/>
        </w:rPr>
        <w:t xml:space="preserve">The CfSD </w:t>
      </w:r>
      <w:r w:rsidR="00295886">
        <w:rPr>
          <w:rFonts w:ascii="Arial" w:hAnsi="Arial" w:cs="Arial"/>
        </w:rPr>
        <w:t xml:space="preserve">team </w:t>
      </w:r>
      <w:r>
        <w:rPr>
          <w:rFonts w:ascii="Arial" w:hAnsi="Arial" w:cs="Arial"/>
        </w:rPr>
        <w:t xml:space="preserve">covered key content within the draft </w:t>
      </w:r>
      <w:proofErr w:type="spellStart"/>
      <w:r>
        <w:rPr>
          <w:rFonts w:ascii="Arial" w:hAnsi="Arial" w:cs="Arial"/>
        </w:rPr>
        <w:t>Mid Year</w:t>
      </w:r>
      <w:proofErr w:type="spellEnd"/>
      <w:r>
        <w:rPr>
          <w:rFonts w:ascii="Arial" w:hAnsi="Arial" w:cs="Arial"/>
        </w:rPr>
        <w:t xml:space="preserve"> Update shared with the SPGC. An overview was provided of a range of achievements delivered across the first half of the year, at both an organisational level and programme level. </w:t>
      </w:r>
    </w:p>
    <w:p w:rsidR="00295886" w:rsidRDefault="00295886" w:rsidP="00E204DE">
      <w:pPr>
        <w:spacing w:after="0"/>
        <w:rPr>
          <w:rFonts w:ascii="Arial" w:hAnsi="Arial" w:cs="Arial"/>
        </w:rPr>
      </w:pPr>
    </w:p>
    <w:p w:rsidR="00A41770" w:rsidRDefault="00A41770" w:rsidP="00E204DE">
      <w:pPr>
        <w:spacing w:after="0"/>
        <w:rPr>
          <w:rFonts w:ascii="Arial" w:hAnsi="Arial" w:cs="Arial"/>
        </w:rPr>
      </w:pPr>
      <w:r>
        <w:rPr>
          <w:rFonts w:ascii="Arial" w:hAnsi="Arial" w:cs="Arial"/>
        </w:rPr>
        <w:t>The CfSD team highlighted the requirement to maintain agile working and adjust the objectives of the organisation following the publication of the NHS Scotland Recovery Plan. Details were provided of the approach taken, the six objectives identified for the organisation and the reprioritisation of programmes to meet the priorities of the NHS Scotland Recovery Plan.</w:t>
      </w:r>
    </w:p>
    <w:p w:rsidR="00A41770" w:rsidRDefault="00A41770" w:rsidP="00E204DE">
      <w:pPr>
        <w:spacing w:after="0"/>
        <w:rPr>
          <w:rFonts w:ascii="Arial" w:hAnsi="Arial" w:cs="Arial"/>
        </w:rPr>
      </w:pPr>
    </w:p>
    <w:p w:rsidR="00A41770" w:rsidRDefault="00A41770" w:rsidP="00E204DE">
      <w:pPr>
        <w:spacing w:after="0"/>
        <w:rPr>
          <w:rFonts w:ascii="Arial" w:hAnsi="Arial" w:cs="Arial"/>
        </w:rPr>
      </w:pPr>
      <w:r>
        <w:rPr>
          <w:rFonts w:ascii="Arial" w:hAnsi="Arial" w:cs="Arial"/>
        </w:rPr>
        <w:t xml:space="preserve">The </w:t>
      </w:r>
      <w:r w:rsidR="00A50F5E">
        <w:rPr>
          <w:rFonts w:ascii="Arial" w:hAnsi="Arial" w:cs="Arial"/>
        </w:rPr>
        <w:t>CfSD team provided an overview of progress in mobilising local level heat maps. The SPGC was assured by evidence of anticipated outcomes which would be delivered as part of the work, including released outpatient capacity, bed days and increased diagnostics capacity. The team highlighted the challenges in securing Heat Maps from every Health Board due to capacity challenges, and noted that there are four outstanding Heat Maps to be received. This has been raised with Scottish Government and the team continue to offer support to the outstanding Health Boards to complete the Heat Maps.</w:t>
      </w:r>
    </w:p>
    <w:p w:rsidR="00A41770" w:rsidRDefault="00A41770" w:rsidP="00E204DE">
      <w:pPr>
        <w:spacing w:after="0"/>
        <w:rPr>
          <w:rFonts w:ascii="Arial" w:hAnsi="Arial" w:cs="Arial"/>
        </w:rPr>
      </w:pPr>
    </w:p>
    <w:p w:rsidR="00AC2EB4" w:rsidRDefault="00AC2EB4">
      <w:pPr>
        <w:rPr>
          <w:rFonts w:ascii="Arial" w:hAnsi="Arial" w:cs="Arial"/>
          <w:b/>
        </w:rPr>
      </w:pPr>
      <w:r>
        <w:rPr>
          <w:rFonts w:ascii="Arial" w:hAnsi="Arial" w:cs="Arial"/>
          <w:b/>
        </w:rPr>
        <w:br w:type="page"/>
      </w:r>
    </w:p>
    <w:p w:rsidR="00AE2D26" w:rsidRDefault="00AE2D26" w:rsidP="00E204DE">
      <w:pPr>
        <w:spacing w:after="0"/>
        <w:rPr>
          <w:rFonts w:ascii="Arial" w:hAnsi="Arial" w:cs="Arial"/>
          <w:b/>
        </w:rPr>
      </w:pPr>
      <w:r w:rsidRPr="00E204DE">
        <w:rPr>
          <w:rFonts w:ascii="Arial" w:hAnsi="Arial" w:cs="Arial"/>
          <w:b/>
        </w:rPr>
        <w:lastRenderedPageBreak/>
        <w:t>Bespoke work and emerging pipeline</w:t>
      </w:r>
    </w:p>
    <w:p w:rsidR="00AC2EB4" w:rsidRPr="00E204DE" w:rsidRDefault="00AC2EB4" w:rsidP="00E204DE">
      <w:pPr>
        <w:spacing w:after="0"/>
        <w:rPr>
          <w:rFonts w:ascii="Arial" w:hAnsi="Arial" w:cs="Arial"/>
          <w:b/>
        </w:rPr>
      </w:pPr>
    </w:p>
    <w:p w:rsidR="00295886" w:rsidRPr="006A5C7C" w:rsidRDefault="00A50F5E" w:rsidP="00295886">
      <w:pPr>
        <w:rPr>
          <w:rFonts w:ascii="Arial" w:hAnsi="Arial" w:cs="Arial"/>
        </w:rPr>
      </w:pPr>
      <w:r>
        <w:rPr>
          <w:rFonts w:ascii="Arial" w:hAnsi="Arial" w:cs="Arial"/>
        </w:rPr>
        <w:t>The team provided an update on the pipeline</w:t>
      </w:r>
      <w:r w:rsidR="00295886">
        <w:rPr>
          <w:rFonts w:ascii="Arial" w:hAnsi="Arial" w:cs="Arial"/>
        </w:rPr>
        <w:t xml:space="preserve">, flagging that a number of urgent and resource intensive commissions had come into CfSD and were being mobilised. </w:t>
      </w:r>
      <w:r w:rsidR="00295886" w:rsidRPr="006A5C7C">
        <w:rPr>
          <w:rFonts w:ascii="Arial" w:hAnsi="Arial" w:cs="Arial"/>
        </w:rPr>
        <w:t xml:space="preserve">A summary of requests </w:t>
      </w:r>
      <w:r w:rsidR="00295886">
        <w:rPr>
          <w:rFonts w:ascii="Arial" w:hAnsi="Arial" w:cs="Arial"/>
        </w:rPr>
        <w:t>in</w:t>
      </w:r>
      <w:r w:rsidR="00295886" w:rsidRPr="006A5C7C">
        <w:rPr>
          <w:rFonts w:ascii="Arial" w:hAnsi="Arial" w:cs="Arial"/>
        </w:rPr>
        <w:t xml:space="preserve"> the programme pipeline includes:</w:t>
      </w:r>
    </w:p>
    <w:p w:rsidR="00295886" w:rsidRPr="006A5C7C" w:rsidRDefault="00295886" w:rsidP="00295886">
      <w:pPr>
        <w:pStyle w:val="ListParagraph"/>
        <w:numPr>
          <w:ilvl w:val="0"/>
          <w:numId w:val="7"/>
        </w:numPr>
        <w:spacing w:after="0" w:line="240" w:lineRule="auto"/>
        <w:contextualSpacing w:val="0"/>
        <w:rPr>
          <w:rFonts w:ascii="Arial" w:hAnsi="Arial" w:cs="Arial"/>
        </w:rPr>
      </w:pPr>
      <w:r w:rsidRPr="006A5C7C">
        <w:rPr>
          <w:rFonts w:ascii="Arial" w:hAnsi="Arial" w:cs="Arial"/>
        </w:rPr>
        <w:t>4 rapid assessment forms in development to capture potential project/programme commission details</w:t>
      </w:r>
    </w:p>
    <w:p w:rsidR="00295886" w:rsidRPr="006A5C7C" w:rsidRDefault="00295886" w:rsidP="00295886">
      <w:pPr>
        <w:pStyle w:val="ListParagraph"/>
        <w:numPr>
          <w:ilvl w:val="0"/>
          <w:numId w:val="7"/>
        </w:numPr>
        <w:spacing w:after="0" w:line="240" w:lineRule="auto"/>
        <w:contextualSpacing w:val="0"/>
        <w:rPr>
          <w:rFonts w:ascii="Arial" w:hAnsi="Arial" w:cs="Arial"/>
        </w:rPr>
      </w:pPr>
      <w:r w:rsidRPr="006A5C7C">
        <w:rPr>
          <w:rFonts w:ascii="Arial" w:hAnsi="Arial" w:cs="Arial"/>
        </w:rPr>
        <w:t>4 projects progressed to further scoping</w:t>
      </w:r>
    </w:p>
    <w:p w:rsidR="00295886" w:rsidRPr="006A5C7C" w:rsidRDefault="00295886" w:rsidP="00295886">
      <w:pPr>
        <w:pStyle w:val="ListParagraph"/>
        <w:numPr>
          <w:ilvl w:val="0"/>
          <w:numId w:val="7"/>
        </w:numPr>
        <w:spacing w:after="0" w:line="240" w:lineRule="auto"/>
        <w:contextualSpacing w:val="0"/>
        <w:rPr>
          <w:rFonts w:ascii="Arial" w:hAnsi="Arial" w:cs="Arial"/>
        </w:rPr>
      </w:pPr>
      <w:r w:rsidRPr="006A5C7C">
        <w:rPr>
          <w:rFonts w:ascii="Arial" w:hAnsi="Arial" w:cs="Arial"/>
        </w:rPr>
        <w:t xml:space="preserve">2 projects moved to delivery </w:t>
      </w:r>
    </w:p>
    <w:p w:rsidR="00295886" w:rsidRPr="006A5C7C" w:rsidRDefault="00295886" w:rsidP="00295886">
      <w:pPr>
        <w:pStyle w:val="ListParagraph"/>
        <w:numPr>
          <w:ilvl w:val="0"/>
          <w:numId w:val="7"/>
        </w:numPr>
        <w:spacing w:after="0" w:line="240" w:lineRule="auto"/>
        <w:contextualSpacing w:val="0"/>
        <w:rPr>
          <w:rFonts w:ascii="Arial" w:hAnsi="Arial" w:cs="Arial"/>
        </w:rPr>
      </w:pPr>
      <w:r w:rsidRPr="006A5C7C">
        <w:rPr>
          <w:rFonts w:ascii="Arial" w:hAnsi="Arial" w:cs="Arial"/>
        </w:rPr>
        <w:t>1 project rejected</w:t>
      </w:r>
    </w:p>
    <w:p w:rsidR="00AE2D26" w:rsidRPr="00E204DE" w:rsidRDefault="00AE2D26" w:rsidP="00E204DE">
      <w:pPr>
        <w:spacing w:after="0"/>
        <w:rPr>
          <w:rFonts w:ascii="Arial" w:hAnsi="Arial" w:cs="Arial"/>
        </w:rPr>
      </w:pPr>
    </w:p>
    <w:p w:rsidR="00F00585" w:rsidRPr="00E204DE" w:rsidRDefault="00F00585" w:rsidP="00E204DE">
      <w:pPr>
        <w:spacing w:after="0"/>
        <w:rPr>
          <w:rFonts w:ascii="Arial" w:hAnsi="Arial" w:cs="Arial"/>
        </w:rPr>
      </w:pPr>
    </w:p>
    <w:p w:rsidR="00AE2D26" w:rsidRPr="00E204DE" w:rsidRDefault="00AE2D26" w:rsidP="00E204DE">
      <w:pPr>
        <w:spacing w:after="0"/>
        <w:rPr>
          <w:rFonts w:ascii="Arial" w:hAnsi="Arial" w:cs="Arial"/>
          <w:b/>
        </w:rPr>
      </w:pPr>
      <w:r w:rsidRPr="00E204DE">
        <w:rPr>
          <w:rFonts w:ascii="Arial" w:hAnsi="Arial" w:cs="Arial"/>
          <w:b/>
        </w:rPr>
        <w:t>Key risks and issues</w:t>
      </w:r>
    </w:p>
    <w:p w:rsidR="00920253" w:rsidRDefault="00920253" w:rsidP="00E204DE">
      <w:pPr>
        <w:spacing w:after="0"/>
        <w:rPr>
          <w:rFonts w:ascii="Arial" w:hAnsi="Arial" w:cs="Arial"/>
        </w:rPr>
      </w:pPr>
    </w:p>
    <w:p w:rsidR="00F00585" w:rsidRDefault="00AE2D26" w:rsidP="00295886">
      <w:pPr>
        <w:spacing w:after="0"/>
        <w:rPr>
          <w:rFonts w:ascii="Arial" w:hAnsi="Arial" w:cs="Arial"/>
        </w:rPr>
      </w:pPr>
      <w:r w:rsidRPr="00E204DE">
        <w:rPr>
          <w:rFonts w:ascii="Arial" w:hAnsi="Arial" w:cs="Arial"/>
        </w:rPr>
        <w:t xml:space="preserve">The risks and issues were captured as below – the SPGC were assured that the risks and issues were well understood and well mitigated. </w:t>
      </w:r>
      <w:r w:rsidR="00295886">
        <w:rPr>
          <w:rFonts w:ascii="Arial" w:hAnsi="Arial" w:cs="Arial"/>
        </w:rPr>
        <w:t xml:space="preserve">A copy of the risk register is captured in Appendix 1. </w:t>
      </w:r>
    </w:p>
    <w:p w:rsidR="00295886" w:rsidRPr="00E204DE" w:rsidRDefault="00295886" w:rsidP="00295886">
      <w:pPr>
        <w:spacing w:after="0"/>
        <w:rPr>
          <w:rFonts w:ascii="Arial" w:hAnsi="Arial" w:cs="Arial"/>
        </w:rPr>
      </w:pPr>
    </w:p>
    <w:p w:rsidR="00AE2D26" w:rsidRPr="00AC2EB4" w:rsidRDefault="00AE2D26" w:rsidP="00E204DE">
      <w:pPr>
        <w:spacing w:after="0"/>
        <w:rPr>
          <w:rFonts w:ascii="Arial" w:hAnsi="Arial" w:cs="Arial"/>
          <w:b/>
        </w:rPr>
      </w:pPr>
      <w:r w:rsidRPr="00AC2EB4">
        <w:rPr>
          <w:rFonts w:ascii="Arial" w:hAnsi="Arial" w:cs="Arial"/>
          <w:b/>
        </w:rPr>
        <w:t>Statement from Chair SPGC</w:t>
      </w:r>
    </w:p>
    <w:p w:rsidR="00AC2EB4" w:rsidRPr="00AC2EB4" w:rsidRDefault="00AC2EB4" w:rsidP="00E204DE">
      <w:pPr>
        <w:spacing w:after="0"/>
        <w:rPr>
          <w:rFonts w:ascii="Arial" w:hAnsi="Arial" w:cs="Arial"/>
          <w:b/>
        </w:rPr>
      </w:pPr>
    </w:p>
    <w:p w:rsidR="00AC2EB4" w:rsidRDefault="00AC2EB4" w:rsidP="00E204DE">
      <w:pPr>
        <w:spacing w:after="0"/>
        <w:rPr>
          <w:rFonts w:ascii="Arial" w:hAnsi="Arial" w:cs="Arial"/>
        </w:rPr>
      </w:pPr>
      <w:r w:rsidRPr="00AC2EB4">
        <w:rPr>
          <w:rFonts w:ascii="Arial" w:hAnsi="Arial" w:cs="Arial"/>
        </w:rPr>
        <w:t>Having been comprehensively briefed on the actions, impact, and challenges by staff from CfSD, I am assured that progress on their work programme is proceeding appropriately an</w:t>
      </w:r>
      <w:r>
        <w:rPr>
          <w:rFonts w:ascii="Arial" w:hAnsi="Arial" w:cs="Arial"/>
        </w:rPr>
        <w:t>d am happy to confirm this to Scottish Government</w:t>
      </w:r>
      <w:r w:rsidRPr="00AC2EB4">
        <w:rPr>
          <w:rFonts w:ascii="Arial" w:hAnsi="Arial" w:cs="Arial"/>
        </w:rPr>
        <w:t>.</w:t>
      </w:r>
    </w:p>
    <w:p w:rsidR="00295886" w:rsidRPr="00AC2EB4" w:rsidRDefault="00295886" w:rsidP="00E204DE">
      <w:pPr>
        <w:spacing w:after="0"/>
        <w:rPr>
          <w:rFonts w:ascii="Arial" w:hAnsi="Arial" w:cs="Arial"/>
        </w:rPr>
      </w:pPr>
    </w:p>
    <w:p w:rsidR="00295886" w:rsidRDefault="00AC2EB4" w:rsidP="00E204DE">
      <w:pPr>
        <w:spacing w:after="0"/>
        <w:rPr>
          <w:rFonts w:ascii="Arial" w:hAnsi="Arial" w:cs="Arial"/>
        </w:rPr>
      </w:pPr>
      <w:r>
        <w:rPr>
          <w:rFonts w:ascii="Arial" w:hAnsi="Arial" w:cs="Arial"/>
        </w:rPr>
        <w:t>Linda Semple, Non-Executive Director NHS GJ/Chair of SPGC.</w:t>
      </w:r>
    </w:p>
    <w:p w:rsidR="00295886" w:rsidRDefault="00295886" w:rsidP="00E204DE">
      <w:pPr>
        <w:spacing w:after="0"/>
        <w:rPr>
          <w:rFonts w:ascii="Arial" w:hAnsi="Arial" w:cs="Arial"/>
        </w:rPr>
      </w:pPr>
    </w:p>
    <w:p w:rsidR="00295886" w:rsidRDefault="00295886" w:rsidP="00E204DE">
      <w:pPr>
        <w:spacing w:after="0"/>
        <w:rPr>
          <w:rFonts w:ascii="Arial" w:hAnsi="Arial" w:cs="Arial"/>
        </w:rPr>
      </w:pPr>
    </w:p>
    <w:p w:rsidR="00295886" w:rsidRDefault="00295886" w:rsidP="00E204DE">
      <w:pPr>
        <w:spacing w:after="0"/>
        <w:rPr>
          <w:rFonts w:ascii="Arial" w:hAnsi="Arial" w:cs="Arial"/>
        </w:rPr>
      </w:pPr>
    </w:p>
    <w:p w:rsidR="00295886" w:rsidRDefault="00295886" w:rsidP="00E204DE">
      <w:pPr>
        <w:spacing w:after="0"/>
        <w:rPr>
          <w:rFonts w:ascii="Arial" w:hAnsi="Arial" w:cs="Arial"/>
        </w:rPr>
      </w:pPr>
    </w:p>
    <w:p w:rsidR="00295886" w:rsidRDefault="00295886" w:rsidP="00E204DE">
      <w:pPr>
        <w:spacing w:after="0"/>
        <w:rPr>
          <w:rFonts w:ascii="Arial" w:hAnsi="Arial" w:cs="Arial"/>
        </w:rPr>
      </w:pPr>
    </w:p>
    <w:p w:rsidR="00295886" w:rsidRDefault="00295886" w:rsidP="00E204DE">
      <w:pPr>
        <w:spacing w:after="0"/>
        <w:rPr>
          <w:rFonts w:ascii="Arial" w:hAnsi="Arial" w:cs="Arial"/>
        </w:rPr>
      </w:pPr>
    </w:p>
    <w:p w:rsidR="00295886" w:rsidRDefault="00295886" w:rsidP="00E204DE">
      <w:pPr>
        <w:spacing w:after="0"/>
        <w:rPr>
          <w:rFonts w:ascii="Arial" w:hAnsi="Arial" w:cs="Arial"/>
        </w:rPr>
      </w:pPr>
    </w:p>
    <w:p w:rsidR="00295886" w:rsidRDefault="00295886" w:rsidP="00E204DE">
      <w:pPr>
        <w:spacing w:after="0"/>
        <w:rPr>
          <w:rFonts w:ascii="Arial" w:hAnsi="Arial" w:cs="Arial"/>
        </w:rPr>
      </w:pPr>
    </w:p>
    <w:p w:rsidR="00295886" w:rsidRDefault="00295886" w:rsidP="00E204DE">
      <w:pPr>
        <w:spacing w:after="0"/>
        <w:rPr>
          <w:rFonts w:ascii="Arial" w:hAnsi="Arial" w:cs="Arial"/>
        </w:rPr>
      </w:pPr>
    </w:p>
    <w:p w:rsidR="00295886" w:rsidRDefault="00295886" w:rsidP="00E204DE">
      <w:pPr>
        <w:spacing w:after="0"/>
        <w:rPr>
          <w:rFonts w:ascii="Arial" w:hAnsi="Arial" w:cs="Arial"/>
        </w:rPr>
      </w:pPr>
    </w:p>
    <w:p w:rsidR="00295886" w:rsidRDefault="00295886">
      <w:pPr>
        <w:rPr>
          <w:rFonts w:ascii="Arial" w:hAnsi="Arial" w:cs="Arial"/>
        </w:rPr>
      </w:pPr>
      <w:r>
        <w:rPr>
          <w:rFonts w:ascii="Arial" w:hAnsi="Arial" w:cs="Arial"/>
        </w:rPr>
        <w:br w:type="page"/>
      </w:r>
    </w:p>
    <w:p w:rsidR="00295886" w:rsidRDefault="00295886" w:rsidP="00E204DE">
      <w:pPr>
        <w:spacing w:after="0"/>
        <w:rPr>
          <w:rFonts w:ascii="Arial" w:hAnsi="Arial" w:cs="Arial"/>
          <w:b/>
        </w:rPr>
        <w:sectPr w:rsidR="00295886" w:rsidSect="00AC2EB4">
          <w:headerReference w:type="default" r:id="rId7"/>
          <w:pgSz w:w="11906" w:h="16838"/>
          <w:pgMar w:top="1134" w:right="849" w:bottom="709" w:left="993" w:header="709" w:footer="709" w:gutter="0"/>
          <w:cols w:space="708"/>
          <w:docGrid w:linePitch="360"/>
        </w:sectPr>
      </w:pPr>
    </w:p>
    <w:p w:rsidR="00295886" w:rsidRDefault="00295886" w:rsidP="00E204DE">
      <w:pPr>
        <w:spacing w:after="0"/>
        <w:rPr>
          <w:rFonts w:ascii="Arial" w:hAnsi="Arial" w:cs="Arial"/>
          <w:b/>
        </w:rPr>
      </w:pPr>
      <w:r>
        <w:rPr>
          <w:rFonts w:ascii="Arial" w:hAnsi="Arial" w:cs="Arial"/>
          <w:b/>
        </w:rPr>
        <w:lastRenderedPageBreak/>
        <w:t>Appendix 1: Risk Register</w:t>
      </w:r>
    </w:p>
    <w:p w:rsidR="00295886" w:rsidRDefault="00295886" w:rsidP="00E204DE">
      <w:pPr>
        <w:spacing w:after="0"/>
        <w:rPr>
          <w:rFonts w:ascii="Arial" w:hAnsi="Arial" w:cs="Arial"/>
          <w:b/>
        </w:rPr>
      </w:pPr>
    </w:p>
    <w:tbl>
      <w:tblPr>
        <w:tblStyle w:val="TableGrid"/>
        <w:tblW w:w="15080" w:type="dxa"/>
        <w:tblInd w:w="-1139" w:type="dxa"/>
        <w:tblLook w:val="04A0" w:firstRow="1" w:lastRow="0" w:firstColumn="1" w:lastColumn="0" w:noHBand="0" w:noVBand="1"/>
      </w:tblPr>
      <w:tblGrid>
        <w:gridCol w:w="569"/>
        <w:gridCol w:w="2675"/>
        <w:gridCol w:w="964"/>
        <w:gridCol w:w="493"/>
        <w:gridCol w:w="474"/>
        <w:gridCol w:w="513"/>
        <w:gridCol w:w="2729"/>
        <w:gridCol w:w="474"/>
        <w:gridCol w:w="474"/>
        <w:gridCol w:w="474"/>
        <w:gridCol w:w="3242"/>
        <w:gridCol w:w="1082"/>
        <w:gridCol w:w="917"/>
      </w:tblGrid>
      <w:tr w:rsidR="00295886" w:rsidRPr="006A5AD4" w:rsidTr="00614DB6">
        <w:trPr>
          <w:trHeight w:val="491"/>
          <w:tblHeader/>
        </w:trPr>
        <w:tc>
          <w:tcPr>
            <w:tcW w:w="569" w:type="dxa"/>
            <w:vMerge w:val="restart"/>
            <w:shd w:val="clear" w:color="auto" w:fill="D9D9D9" w:themeFill="background1" w:themeFillShade="D9"/>
          </w:tcPr>
          <w:p w:rsidR="00295886" w:rsidRPr="007C7973" w:rsidRDefault="00295886" w:rsidP="00614DB6">
            <w:pPr>
              <w:rPr>
                <w:rFonts w:ascii="Arial Narrow" w:hAnsi="Arial Narrow"/>
                <w:b/>
              </w:rPr>
            </w:pPr>
            <w:r w:rsidRPr="007C7973">
              <w:rPr>
                <w:rFonts w:ascii="Arial Narrow" w:hAnsi="Arial Narrow"/>
                <w:b/>
              </w:rPr>
              <w:t>Ref</w:t>
            </w:r>
          </w:p>
        </w:tc>
        <w:tc>
          <w:tcPr>
            <w:tcW w:w="2675" w:type="dxa"/>
            <w:vMerge w:val="restart"/>
            <w:shd w:val="clear" w:color="auto" w:fill="D9D9D9" w:themeFill="background1" w:themeFillShade="D9"/>
          </w:tcPr>
          <w:p w:rsidR="00295886" w:rsidRPr="007C7973" w:rsidRDefault="00295886" w:rsidP="00614DB6">
            <w:pPr>
              <w:rPr>
                <w:rFonts w:ascii="Arial Narrow" w:hAnsi="Arial Narrow"/>
                <w:b/>
              </w:rPr>
            </w:pPr>
            <w:r w:rsidRPr="007C7973">
              <w:rPr>
                <w:rFonts w:ascii="Arial Narrow" w:hAnsi="Arial Narrow"/>
                <w:b/>
              </w:rPr>
              <w:t xml:space="preserve">Risk Title &amp; Impact Summary </w:t>
            </w:r>
          </w:p>
        </w:tc>
        <w:tc>
          <w:tcPr>
            <w:tcW w:w="964" w:type="dxa"/>
            <w:vMerge w:val="restart"/>
            <w:shd w:val="clear" w:color="auto" w:fill="D9D9D9" w:themeFill="background1" w:themeFillShade="D9"/>
          </w:tcPr>
          <w:p w:rsidR="00295886" w:rsidRPr="007C7973" w:rsidRDefault="00295886" w:rsidP="00614DB6">
            <w:pPr>
              <w:rPr>
                <w:rFonts w:ascii="Arial Narrow" w:hAnsi="Arial Narrow"/>
                <w:b/>
              </w:rPr>
            </w:pPr>
            <w:r w:rsidRPr="007C7973">
              <w:rPr>
                <w:rFonts w:ascii="Arial Narrow" w:hAnsi="Arial Narrow"/>
                <w:b/>
              </w:rPr>
              <w:t xml:space="preserve">Risk Owner </w:t>
            </w:r>
          </w:p>
        </w:tc>
        <w:tc>
          <w:tcPr>
            <w:tcW w:w="1480" w:type="dxa"/>
            <w:gridSpan w:val="3"/>
            <w:shd w:val="clear" w:color="auto" w:fill="D9D9D9" w:themeFill="background1" w:themeFillShade="D9"/>
          </w:tcPr>
          <w:p w:rsidR="00295886" w:rsidRPr="007C7973" w:rsidRDefault="00295886" w:rsidP="00614DB6">
            <w:pPr>
              <w:rPr>
                <w:rFonts w:ascii="Arial Narrow" w:hAnsi="Arial Narrow"/>
                <w:b/>
              </w:rPr>
            </w:pPr>
            <w:r w:rsidRPr="007C7973">
              <w:rPr>
                <w:rFonts w:ascii="Arial Narrow" w:hAnsi="Arial Narrow"/>
                <w:b/>
              </w:rPr>
              <w:t xml:space="preserve">Current Risk Rating </w:t>
            </w:r>
          </w:p>
        </w:tc>
        <w:tc>
          <w:tcPr>
            <w:tcW w:w="2729" w:type="dxa"/>
            <w:vMerge w:val="restart"/>
            <w:shd w:val="clear" w:color="auto" w:fill="D9D9D9" w:themeFill="background1" w:themeFillShade="D9"/>
          </w:tcPr>
          <w:p w:rsidR="00295886" w:rsidRPr="007C7973" w:rsidRDefault="00295886" w:rsidP="00614DB6">
            <w:pPr>
              <w:rPr>
                <w:rFonts w:ascii="Arial Narrow" w:hAnsi="Arial Narrow"/>
                <w:b/>
              </w:rPr>
            </w:pPr>
            <w:r w:rsidRPr="007C7973">
              <w:rPr>
                <w:rFonts w:ascii="Arial Narrow" w:hAnsi="Arial Narrow"/>
                <w:b/>
              </w:rPr>
              <w:t xml:space="preserve">Current Mitigations </w:t>
            </w:r>
          </w:p>
        </w:tc>
        <w:tc>
          <w:tcPr>
            <w:tcW w:w="1422" w:type="dxa"/>
            <w:gridSpan w:val="3"/>
            <w:shd w:val="clear" w:color="auto" w:fill="D9D9D9" w:themeFill="background1" w:themeFillShade="D9"/>
          </w:tcPr>
          <w:p w:rsidR="00295886" w:rsidRPr="007C7973" w:rsidRDefault="00295886" w:rsidP="00614DB6">
            <w:pPr>
              <w:rPr>
                <w:rFonts w:ascii="Arial Narrow" w:hAnsi="Arial Narrow"/>
                <w:b/>
              </w:rPr>
            </w:pPr>
            <w:r w:rsidRPr="007C7973">
              <w:rPr>
                <w:rFonts w:ascii="Arial Narrow" w:hAnsi="Arial Narrow"/>
                <w:b/>
              </w:rPr>
              <w:t xml:space="preserve">Risk Target </w:t>
            </w:r>
          </w:p>
        </w:tc>
        <w:tc>
          <w:tcPr>
            <w:tcW w:w="3242" w:type="dxa"/>
            <w:vMerge w:val="restart"/>
            <w:shd w:val="clear" w:color="auto" w:fill="D9D9D9" w:themeFill="background1" w:themeFillShade="D9"/>
          </w:tcPr>
          <w:p w:rsidR="00295886" w:rsidRPr="007C7973" w:rsidRDefault="00295886" w:rsidP="00614DB6">
            <w:pPr>
              <w:rPr>
                <w:rFonts w:ascii="Arial Narrow" w:hAnsi="Arial Narrow"/>
                <w:b/>
              </w:rPr>
            </w:pPr>
            <w:r w:rsidRPr="007C7973">
              <w:rPr>
                <w:rFonts w:ascii="Arial Narrow" w:hAnsi="Arial Narrow"/>
                <w:b/>
              </w:rPr>
              <w:t>Planned Mitigation</w:t>
            </w:r>
          </w:p>
        </w:tc>
        <w:tc>
          <w:tcPr>
            <w:tcW w:w="1082" w:type="dxa"/>
            <w:vMerge w:val="restart"/>
            <w:shd w:val="clear" w:color="auto" w:fill="D9D9D9" w:themeFill="background1" w:themeFillShade="D9"/>
          </w:tcPr>
          <w:p w:rsidR="00295886" w:rsidRPr="007C7973" w:rsidRDefault="00295886" w:rsidP="00614DB6">
            <w:pPr>
              <w:rPr>
                <w:rFonts w:ascii="Arial Narrow" w:hAnsi="Arial Narrow"/>
                <w:b/>
              </w:rPr>
            </w:pPr>
            <w:r w:rsidRPr="007C7973">
              <w:rPr>
                <w:rFonts w:ascii="Arial Narrow" w:hAnsi="Arial Narrow"/>
                <w:b/>
              </w:rPr>
              <w:t xml:space="preserve">Risk Review </w:t>
            </w:r>
            <w:proofErr w:type="spellStart"/>
            <w:r w:rsidRPr="007C7973">
              <w:rPr>
                <w:rFonts w:ascii="Arial Narrow" w:hAnsi="Arial Narrow"/>
                <w:b/>
              </w:rPr>
              <w:t>Freq</w:t>
            </w:r>
            <w:proofErr w:type="spellEnd"/>
          </w:p>
        </w:tc>
        <w:tc>
          <w:tcPr>
            <w:tcW w:w="917" w:type="dxa"/>
            <w:vMerge w:val="restart"/>
            <w:shd w:val="clear" w:color="auto" w:fill="D9D9D9" w:themeFill="background1" w:themeFillShade="D9"/>
          </w:tcPr>
          <w:p w:rsidR="00295886" w:rsidRPr="007C7973" w:rsidRDefault="00295886" w:rsidP="00614DB6">
            <w:pPr>
              <w:rPr>
                <w:rFonts w:ascii="Arial Narrow" w:hAnsi="Arial Narrow"/>
                <w:b/>
              </w:rPr>
            </w:pPr>
            <w:r w:rsidRPr="007C7973">
              <w:rPr>
                <w:rFonts w:ascii="Arial Narrow" w:hAnsi="Arial Narrow"/>
                <w:b/>
              </w:rPr>
              <w:t xml:space="preserve">Date last updated </w:t>
            </w:r>
          </w:p>
        </w:tc>
      </w:tr>
      <w:tr w:rsidR="00295886" w:rsidRPr="006A5AD4" w:rsidTr="00614DB6">
        <w:trPr>
          <w:cantSplit/>
          <w:trHeight w:val="1134"/>
        </w:trPr>
        <w:tc>
          <w:tcPr>
            <w:tcW w:w="569" w:type="dxa"/>
            <w:vMerge/>
          </w:tcPr>
          <w:p w:rsidR="00295886" w:rsidRPr="006A5AD4" w:rsidRDefault="00295886" w:rsidP="00614DB6">
            <w:pPr>
              <w:rPr>
                <w:rFonts w:ascii="Arial Narrow" w:hAnsi="Arial Narrow"/>
              </w:rPr>
            </w:pPr>
          </w:p>
        </w:tc>
        <w:tc>
          <w:tcPr>
            <w:tcW w:w="2675" w:type="dxa"/>
            <w:vMerge/>
          </w:tcPr>
          <w:p w:rsidR="00295886" w:rsidRPr="006A5AD4" w:rsidRDefault="00295886" w:rsidP="00614DB6">
            <w:pPr>
              <w:rPr>
                <w:rFonts w:ascii="Arial Narrow" w:hAnsi="Arial Narrow"/>
              </w:rPr>
            </w:pPr>
          </w:p>
        </w:tc>
        <w:tc>
          <w:tcPr>
            <w:tcW w:w="964" w:type="dxa"/>
            <w:vMerge/>
          </w:tcPr>
          <w:p w:rsidR="00295886" w:rsidRPr="006A5AD4" w:rsidRDefault="00295886" w:rsidP="00614DB6">
            <w:pPr>
              <w:rPr>
                <w:rFonts w:ascii="Arial Narrow" w:hAnsi="Arial Narrow"/>
              </w:rPr>
            </w:pPr>
          </w:p>
        </w:tc>
        <w:tc>
          <w:tcPr>
            <w:tcW w:w="493" w:type="dxa"/>
            <w:shd w:val="clear" w:color="auto" w:fill="D9D9D9" w:themeFill="background1" w:themeFillShade="D9"/>
            <w:textDirection w:val="btLr"/>
          </w:tcPr>
          <w:p w:rsidR="00295886" w:rsidRPr="007C7973" w:rsidRDefault="00295886" w:rsidP="00614DB6">
            <w:pPr>
              <w:ind w:left="113" w:right="113"/>
              <w:rPr>
                <w:rFonts w:ascii="Arial Narrow" w:hAnsi="Arial Narrow"/>
                <w:b/>
              </w:rPr>
            </w:pPr>
            <w:r w:rsidRPr="007C7973">
              <w:rPr>
                <w:rFonts w:ascii="Arial Narrow" w:hAnsi="Arial Narrow"/>
                <w:b/>
              </w:rPr>
              <w:t>Likelihood</w:t>
            </w:r>
          </w:p>
        </w:tc>
        <w:tc>
          <w:tcPr>
            <w:tcW w:w="474" w:type="dxa"/>
            <w:shd w:val="clear" w:color="auto" w:fill="D9D9D9" w:themeFill="background1" w:themeFillShade="D9"/>
            <w:textDirection w:val="btLr"/>
          </w:tcPr>
          <w:p w:rsidR="00295886" w:rsidRPr="007C7973" w:rsidRDefault="00295886" w:rsidP="00614DB6">
            <w:pPr>
              <w:ind w:left="113" w:right="113"/>
              <w:rPr>
                <w:rFonts w:ascii="Arial Narrow" w:hAnsi="Arial Narrow"/>
                <w:b/>
              </w:rPr>
            </w:pPr>
            <w:r w:rsidRPr="007C7973">
              <w:rPr>
                <w:rFonts w:ascii="Arial Narrow" w:hAnsi="Arial Narrow"/>
                <w:b/>
              </w:rPr>
              <w:t>Severity</w:t>
            </w:r>
          </w:p>
        </w:tc>
        <w:tc>
          <w:tcPr>
            <w:tcW w:w="513" w:type="dxa"/>
            <w:shd w:val="clear" w:color="auto" w:fill="D9D9D9" w:themeFill="background1" w:themeFillShade="D9"/>
            <w:textDirection w:val="btLr"/>
          </w:tcPr>
          <w:p w:rsidR="00295886" w:rsidRPr="007C7973" w:rsidRDefault="00295886" w:rsidP="00614DB6">
            <w:pPr>
              <w:ind w:left="113" w:right="113"/>
              <w:rPr>
                <w:rFonts w:ascii="Arial Narrow" w:hAnsi="Arial Narrow"/>
                <w:b/>
              </w:rPr>
            </w:pPr>
            <w:r w:rsidRPr="007C7973">
              <w:rPr>
                <w:rFonts w:ascii="Arial Narrow" w:hAnsi="Arial Narrow"/>
                <w:b/>
              </w:rPr>
              <w:t>Risk Level</w:t>
            </w:r>
          </w:p>
        </w:tc>
        <w:tc>
          <w:tcPr>
            <w:tcW w:w="2729" w:type="dxa"/>
            <w:vMerge/>
          </w:tcPr>
          <w:p w:rsidR="00295886" w:rsidRPr="006A5AD4" w:rsidRDefault="00295886" w:rsidP="00614DB6">
            <w:pPr>
              <w:rPr>
                <w:rFonts w:ascii="Arial Narrow" w:hAnsi="Arial Narrow"/>
              </w:rPr>
            </w:pPr>
          </w:p>
        </w:tc>
        <w:tc>
          <w:tcPr>
            <w:tcW w:w="474" w:type="dxa"/>
            <w:shd w:val="clear" w:color="auto" w:fill="D9D9D9" w:themeFill="background1" w:themeFillShade="D9"/>
            <w:textDirection w:val="btLr"/>
          </w:tcPr>
          <w:p w:rsidR="00295886" w:rsidRPr="007C7973" w:rsidRDefault="00295886" w:rsidP="00614DB6">
            <w:pPr>
              <w:ind w:left="113" w:right="113"/>
              <w:rPr>
                <w:rFonts w:ascii="Arial Narrow" w:hAnsi="Arial Narrow"/>
                <w:b/>
              </w:rPr>
            </w:pPr>
            <w:r w:rsidRPr="007C7973">
              <w:rPr>
                <w:rFonts w:ascii="Arial Narrow" w:hAnsi="Arial Narrow"/>
                <w:b/>
              </w:rPr>
              <w:t>Likelihood</w:t>
            </w:r>
          </w:p>
        </w:tc>
        <w:tc>
          <w:tcPr>
            <w:tcW w:w="474" w:type="dxa"/>
            <w:shd w:val="clear" w:color="auto" w:fill="D9D9D9" w:themeFill="background1" w:themeFillShade="D9"/>
            <w:textDirection w:val="btLr"/>
          </w:tcPr>
          <w:p w:rsidR="00295886" w:rsidRPr="007C7973" w:rsidRDefault="00295886" w:rsidP="00614DB6">
            <w:pPr>
              <w:ind w:left="113" w:right="113"/>
              <w:rPr>
                <w:rFonts w:ascii="Arial Narrow" w:hAnsi="Arial Narrow"/>
                <w:b/>
              </w:rPr>
            </w:pPr>
            <w:r w:rsidRPr="007C7973">
              <w:rPr>
                <w:rFonts w:ascii="Arial Narrow" w:hAnsi="Arial Narrow"/>
                <w:b/>
              </w:rPr>
              <w:t>Severity</w:t>
            </w:r>
          </w:p>
        </w:tc>
        <w:tc>
          <w:tcPr>
            <w:tcW w:w="474" w:type="dxa"/>
            <w:shd w:val="clear" w:color="auto" w:fill="D9D9D9" w:themeFill="background1" w:themeFillShade="D9"/>
            <w:textDirection w:val="btLr"/>
          </w:tcPr>
          <w:p w:rsidR="00295886" w:rsidRPr="007C7973" w:rsidRDefault="00295886" w:rsidP="00614DB6">
            <w:pPr>
              <w:ind w:left="113" w:right="113"/>
              <w:rPr>
                <w:rFonts w:ascii="Arial Narrow" w:hAnsi="Arial Narrow"/>
                <w:b/>
              </w:rPr>
            </w:pPr>
            <w:r w:rsidRPr="007C7973">
              <w:rPr>
                <w:rFonts w:ascii="Arial Narrow" w:hAnsi="Arial Narrow"/>
                <w:b/>
              </w:rPr>
              <w:t>Risk Level</w:t>
            </w:r>
          </w:p>
        </w:tc>
        <w:tc>
          <w:tcPr>
            <w:tcW w:w="3242" w:type="dxa"/>
            <w:vMerge/>
            <w:shd w:val="clear" w:color="auto" w:fill="D9D9D9" w:themeFill="background1" w:themeFillShade="D9"/>
          </w:tcPr>
          <w:p w:rsidR="00295886" w:rsidRPr="006A5AD4" w:rsidRDefault="00295886" w:rsidP="00614DB6">
            <w:pPr>
              <w:rPr>
                <w:rFonts w:ascii="Arial Narrow" w:hAnsi="Arial Narrow"/>
              </w:rPr>
            </w:pPr>
          </w:p>
        </w:tc>
        <w:tc>
          <w:tcPr>
            <w:tcW w:w="1082" w:type="dxa"/>
            <w:vMerge/>
          </w:tcPr>
          <w:p w:rsidR="00295886" w:rsidRPr="006A5AD4" w:rsidRDefault="00295886" w:rsidP="00614DB6">
            <w:pPr>
              <w:rPr>
                <w:rFonts w:ascii="Arial Narrow" w:hAnsi="Arial Narrow"/>
              </w:rPr>
            </w:pPr>
          </w:p>
        </w:tc>
        <w:tc>
          <w:tcPr>
            <w:tcW w:w="917" w:type="dxa"/>
            <w:vMerge/>
          </w:tcPr>
          <w:p w:rsidR="00295886" w:rsidRPr="006A5AD4" w:rsidRDefault="00295886" w:rsidP="00614DB6">
            <w:pPr>
              <w:rPr>
                <w:rFonts w:ascii="Arial Narrow" w:hAnsi="Arial Narrow"/>
              </w:rPr>
            </w:pPr>
          </w:p>
        </w:tc>
      </w:tr>
      <w:tr w:rsidR="00295886" w:rsidRPr="006A5AD4" w:rsidTr="00614DB6">
        <w:trPr>
          <w:cantSplit/>
          <w:trHeight w:val="1134"/>
        </w:trPr>
        <w:tc>
          <w:tcPr>
            <w:tcW w:w="569" w:type="dxa"/>
          </w:tcPr>
          <w:p w:rsidR="00295886" w:rsidRPr="00B73E91" w:rsidRDefault="00295886" w:rsidP="00614DB6">
            <w:pPr>
              <w:rPr>
                <w:rFonts w:ascii="Arial Narrow" w:hAnsi="Arial Narrow"/>
              </w:rPr>
            </w:pPr>
            <w:r w:rsidRPr="00B73E91">
              <w:rPr>
                <w:rFonts w:ascii="Arial Narrow" w:hAnsi="Arial Narrow"/>
              </w:rPr>
              <w:t>1.</w:t>
            </w:r>
          </w:p>
        </w:tc>
        <w:tc>
          <w:tcPr>
            <w:tcW w:w="2675" w:type="dxa"/>
          </w:tcPr>
          <w:p w:rsidR="00295886" w:rsidRPr="007C7973" w:rsidRDefault="00295886" w:rsidP="00614DB6">
            <w:pPr>
              <w:rPr>
                <w:rFonts w:ascii="Arial" w:eastAsia="Calibri" w:hAnsi="Arial" w:cs="Arial"/>
                <w:color w:val="000000"/>
              </w:rPr>
            </w:pPr>
            <w:r>
              <w:rPr>
                <w:rFonts w:ascii="Arial" w:eastAsia="Calibri" w:hAnsi="Arial" w:cs="Arial"/>
                <w:color w:val="000000"/>
              </w:rPr>
              <w:t xml:space="preserve">Reduced impact /outcome of CfSD programmes for 2021/2022 due to reduced </w:t>
            </w:r>
            <w:r w:rsidRPr="007C7973">
              <w:rPr>
                <w:rFonts w:ascii="Arial" w:eastAsia="Calibri" w:hAnsi="Arial" w:cs="Arial"/>
                <w:color w:val="000000"/>
              </w:rPr>
              <w:t xml:space="preserve">NHS Board capacity to engage in CfSD programmes due </w:t>
            </w:r>
            <w:r>
              <w:rPr>
                <w:rFonts w:ascii="Arial" w:eastAsia="Calibri" w:hAnsi="Arial" w:cs="Arial"/>
                <w:color w:val="000000"/>
              </w:rPr>
              <w:t xml:space="preserve">operational pressures related </w:t>
            </w:r>
            <w:r w:rsidRPr="007C7973">
              <w:rPr>
                <w:rFonts w:ascii="Arial" w:eastAsia="Calibri" w:hAnsi="Arial" w:cs="Arial"/>
                <w:color w:val="000000"/>
              </w:rPr>
              <w:t>to pandemic</w:t>
            </w:r>
          </w:p>
          <w:p w:rsidR="00295886" w:rsidRPr="007C7973" w:rsidRDefault="00295886" w:rsidP="00614DB6">
            <w:pPr>
              <w:rPr>
                <w:rFonts w:ascii="Arial" w:eastAsia="Calibri" w:hAnsi="Arial" w:cs="Arial"/>
                <w:color w:val="000000"/>
              </w:rPr>
            </w:pPr>
          </w:p>
        </w:tc>
        <w:tc>
          <w:tcPr>
            <w:tcW w:w="964" w:type="dxa"/>
          </w:tcPr>
          <w:p w:rsidR="00295886" w:rsidRPr="007C7973" w:rsidRDefault="00295886" w:rsidP="00614DB6">
            <w:pPr>
              <w:rPr>
                <w:rFonts w:ascii="Arial Narrow" w:hAnsi="Arial Narrow"/>
              </w:rPr>
            </w:pPr>
            <w:r w:rsidRPr="007C7973">
              <w:rPr>
                <w:rFonts w:ascii="Arial Narrow" w:hAnsi="Arial Narrow"/>
              </w:rPr>
              <w:t>JH/KC/NB</w:t>
            </w:r>
          </w:p>
        </w:tc>
        <w:tc>
          <w:tcPr>
            <w:tcW w:w="493" w:type="dxa"/>
          </w:tcPr>
          <w:p w:rsidR="00295886" w:rsidRPr="007C7973" w:rsidRDefault="00295886" w:rsidP="00614DB6">
            <w:pPr>
              <w:rPr>
                <w:rFonts w:ascii="Arial Narrow" w:hAnsi="Arial Narrow"/>
              </w:rPr>
            </w:pPr>
            <w:r>
              <w:rPr>
                <w:rFonts w:ascii="Arial Narrow" w:hAnsi="Arial Narrow"/>
              </w:rPr>
              <w:t>4</w:t>
            </w:r>
          </w:p>
        </w:tc>
        <w:tc>
          <w:tcPr>
            <w:tcW w:w="474" w:type="dxa"/>
          </w:tcPr>
          <w:p w:rsidR="00295886" w:rsidRPr="007C7973" w:rsidRDefault="00295886" w:rsidP="00614DB6">
            <w:pPr>
              <w:rPr>
                <w:rFonts w:ascii="Arial Narrow" w:hAnsi="Arial Narrow"/>
              </w:rPr>
            </w:pPr>
            <w:r>
              <w:rPr>
                <w:rFonts w:ascii="Arial Narrow" w:hAnsi="Arial Narrow"/>
              </w:rPr>
              <w:t>3</w:t>
            </w:r>
          </w:p>
        </w:tc>
        <w:tc>
          <w:tcPr>
            <w:tcW w:w="513" w:type="dxa"/>
            <w:shd w:val="clear" w:color="auto" w:fill="FF0000"/>
          </w:tcPr>
          <w:p w:rsidR="00295886" w:rsidRPr="007C7973" w:rsidRDefault="00295886" w:rsidP="00614DB6">
            <w:pPr>
              <w:rPr>
                <w:rFonts w:ascii="Arial Narrow" w:hAnsi="Arial Narrow"/>
              </w:rPr>
            </w:pPr>
            <w:r>
              <w:rPr>
                <w:rFonts w:ascii="Arial Narrow" w:hAnsi="Arial Narrow"/>
              </w:rPr>
              <w:t>12</w:t>
            </w:r>
          </w:p>
        </w:tc>
        <w:tc>
          <w:tcPr>
            <w:tcW w:w="2729" w:type="dxa"/>
          </w:tcPr>
          <w:p w:rsidR="00295886" w:rsidRPr="007C7973" w:rsidRDefault="00295886" w:rsidP="00614DB6">
            <w:pPr>
              <w:tabs>
                <w:tab w:val="left" w:pos="1440"/>
              </w:tabs>
              <w:spacing w:after="120"/>
              <w:rPr>
                <w:rFonts w:ascii="Arial Narrow" w:hAnsi="Arial Narrow"/>
              </w:rPr>
            </w:pPr>
            <w:r>
              <w:rPr>
                <w:rFonts w:ascii="Arial Narrow" w:hAnsi="Arial Narrow"/>
              </w:rPr>
              <w:t>Support from CfSD staff to progress heatmap assessment with NHS boards</w:t>
            </w:r>
          </w:p>
        </w:tc>
        <w:tc>
          <w:tcPr>
            <w:tcW w:w="474" w:type="dxa"/>
          </w:tcPr>
          <w:p w:rsidR="00295886" w:rsidRPr="007C7973" w:rsidRDefault="00295886" w:rsidP="00614DB6">
            <w:pPr>
              <w:rPr>
                <w:rFonts w:ascii="Arial Narrow" w:hAnsi="Arial Narrow"/>
              </w:rPr>
            </w:pPr>
            <w:r w:rsidRPr="007C7973">
              <w:rPr>
                <w:rFonts w:ascii="Arial Narrow" w:hAnsi="Arial Narrow"/>
              </w:rPr>
              <w:t>1</w:t>
            </w:r>
          </w:p>
        </w:tc>
        <w:tc>
          <w:tcPr>
            <w:tcW w:w="474" w:type="dxa"/>
          </w:tcPr>
          <w:p w:rsidR="00295886" w:rsidRPr="007C7973" w:rsidRDefault="00295886" w:rsidP="00614DB6">
            <w:pPr>
              <w:rPr>
                <w:rFonts w:ascii="Arial Narrow" w:hAnsi="Arial Narrow"/>
              </w:rPr>
            </w:pPr>
            <w:r>
              <w:rPr>
                <w:rFonts w:ascii="Arial Narrow" w:hAnsi="Arial Narrow"/>
              </w:rPr>
              <w:t>3</w:t>
            </w:r>
          </w:p>
        </w:tc>
        <w:tc>
          <w:tcPr>
            <w:tcW w:w="474" w:type="dxa"/>
            <w:shd w:val="clear" w:color="auto" w:fill="92D050"/>
          </w:tcPr>
          <w:p w:rsidR="00295886" w:rsidRPr="007C7973" w:rsidRDefault="00295886" w:rsidP="00614DB6">
            <w:pPr>
              <w:rPr>
                <w:rFonts w:ascii="Arial Narrow" w:hAnsi="Arial Narrow"/>
              </w:rPr>
            </w:pPr>
            <w:r w:rsidRPr="007C7973">
              <w:rPr>
                <w:rFonts w:ascii="Arial Narrow" w:hAnsi="Arial Narrow"/>
              </w:rPr>
              <w:t>4</w:t>
            </w:r>
          </w:p>
        </w:tc>
        <w:tc>
          <w:tcPr>
            <w:tcW w:w="3242" w:type="dxa"/>
          </w:tcPr>
          <w:p w:rsidR="00295886" w:rsidRPr="007C7973" w:rsidRDefault="00295886" w:rsidP="00614DB6">
            <w:pPr>
              <w:rPr>
                <w:rFonts w:ascii="Arial Narrow" w:hAnsi="Arial Narrow"/>
              </w:rPr>
            </w:pPr>
            <w:r>
              <w:rPr>
                <w:rFonts w:ascii="Arial Narrow" w:hAnsi="Arial Narrow"/>
              </w:rPr>
              <w:t xml:space="preserve">Quantification and delivery of further support from CfSD to progress delivery of programmes </w:t>
            </w:r>
          </w:p>
        </w:tc>
        <w:tc>
          <w:tcPr>
            <w:tcW w:w="1082" w:type="dxa"/>
          </w:tcPr>
          <w:p w:rsidR="00295886" w:rsidRPr="007C7973" w:rsidRDefault="00295886" w:rsidP="00614DB6">
            <w:pPr>
              <w:rPr>
                <w:rFonts w:ascii="Arial Narrow" w:hAnsi="Arial Narrow"/>
              </w:rPr>
            </w:pPr>
            <w:r w:rsidRPr="007C7973">
              <w:rPr>
                <w:rFonts w:ascii="Arial Narrow" w:hAnsi="Arial Narrow"/>
              </w:rPr>
              <w:t>2 months</w:t>
            </w:r>
          </w:p>
        </w:tc>
        <w:tc>
          <w:tcPr>
            <w:tcW w:w="917" w:type="dxa"/>
          </w:tcPr>
          <w:p w:rsidR="00295886" w:rsidRPr="007C7973" w:rsidRDefault="00295886" w:rsidP="00614DB6">
            <w:pPr>
              <w:rPr>
                <w:rFonts w:ascii="Arial Narrow" w:hAnsi="Arial Narrow"/>
              </w:rPr>
            </w:pPr>
          </w:p>
          <w:p w:rsidR="00295886" w:rsidRPr="007C7973" w:rsidRDefault="00295886" w:rsidP="00614DB6">
            <w:pPr>
              <w:rPr>
                <w:rFonts w:ascii="Arial Narrow" w:hAnsi="Arial Narrow"/>
              </w:rPr>
            </w:pPr>
            <w:r w:rsidRPr="007C7973">
              <w:rPr>
                <w:rFonts w:ascii="Arial Narrow" w:hAnsi="Arial Narrow"/>
              </w:rPr>
              <w:t>NA</w:t>
            </w:r>
          </w:p>
        </w:tc>
      </w:tr>
      <w:tr w:rsidR="00295886" w:rsidRPr="006A5AD4" w:rsidTr="00614DB6">
        <w:trPr>
          <w:cantSplit/>
          <w:trHeight w:val="1134"/>
        </w:trPr>
        <w:tc>
          <w:tcPr>
            <w:tcW w:w="569" w:type="dxa"/>
          </w:tcPr>
          <w:p w:rsidR="00295886" w:rsidRPr="00B73E91" w:rsidRDefault="00295886" w:rsidP="00614DB6">
            <w:pPr>
              <w:rPr>
                <w:rFonts w:ascii="Arial Narrow" w:hAnsi="Arial Narrow"/>
              </w:rPr>
            </w:pPr>
            <w:r w:rsidRPr="00B73E91">
              <w:rPr>
                <w:rFonts w:ascii="Arial Narrow" w:hAnsi="Arial Narrow"/>
              </w:rPr>
              <w:t>2.</w:t>
            </w:r>
          </w:p>
        </w:tc>
        <w:tc>
          <w:tcPr>
            <w:tcW w:w="2675" w:type="dxa"/>
          </w:tcPr>
          <w:p w:rsidR="00295886" w:rsidRDefault="00295886" w:rsidP="00614DB6">
            <w:pPr>
              <w:rPr>
                <w:rFonts w:ascii="Arial" w:eastAsia="Calibri" w:hAnsi="Arial" w:cs="Arial"/>
                <w:color w:val="000000"/>
              </w:rPr>
            </w:pPr>
            <w:r>
              <w:rPr>
                <w:rFonts w:ascii="Arial" w:eastAsia="Calibri" w:hAnsi="Arial" w:cs="Arial"/>
                <w:color w:val="000000"/>
              </w:rPr>
              <w:t>Reduced impact /outcome of CfSD programmes for 2021/2022 due to CfSD vacancies</w:t>
            </w:r>
          </w:p>
        </w:tc>
        <w:tc>
          <w:tcPr>
            <w:tcW w:w="964" w:type="dxa"/>
          </w:tcPr>
          <w:p w:rsidR="00295886" w:rsidRPr="007C7973" w:rsidRDefault="00295886" w:rsidP="00614DB6">
            <w:pPr>
              <w:rPr>
                <w:rFonts w:ascii="Arial Narrow" w:hAnsi="Arial Narrow"/>
              </w:rPr>
            </w:pPr>
            <w:r w:rsidRPr="007C7973">
              <w:rPr>
                <w:rFonts w:ascii="Arial Narrow" w:hAnsi="Arial Narrow"/>
              </w:rPr>
              <w:t>JH/KC/NB</w:t>
            </w:r>
          </w:p>
        </w:tc>
        <w:tc>
          <w:tcPr>
            <w:tcW w:w="493" w:type="dxa"/>
          </w:tcPr>
          <w:p w:rsidR="00295886" w:rsidRDefault="00295886" w:rsidP="00614DB6">
            <w:pPr>
              <w:rPr>
                <w:rFonts w:ascii="Arial Narrow" w:hAnsi="Arial Narrow"/>
              </w:rPr>
            </w:pPr>
            <w:r>
              <w:rPr>
                <w:rFonts w:ascii="Arial Narrow" w:hAnsi="Arial Narrow"/>
              </w:rPr>
              <w:t>2</w:t>
            </w:r>
          </w:p>
        </w:tc>
        <w:tc>
          <w:tcPr>
            <w:tcW w:w="474" w:type="dxa"/>
          </w:tcPr>
          <w:p w:rsidR="00295886" w:rsidRDefault="00295886" w:rsidP="00614DB6">
            <w:pPr>
              <w:rPr>
                <w:rFonts w:ascii="Arial Narrow" w:hAnsi="Arial Narrow"/>
              </w:rPr>
            </w:pPr>
            <w:r>
              <w:rPr>
                <w:rFonts w:ascii="Arial Narrow" w:hAnsi="Arial Narrow"/>
              </w:rPr>
              <w:t>3</w:t>
            </w:r>
          </w:p>
        </w:tc>
        <w:tc>
          <w:tcPr>
            <w:tcW w:w="513" w:type="dxa"/>
            <w:shd w:val="clear" w:color="auto" w:fill="FFFF00"/>
          </w:tcPr>
          <w:p w:rsidR="00295886" w:rsidRDefault="00295886" w:rsidP="00614DB6">
            <w:pPr>
              <w:rPr>
                <w:rFonts w:ascii="Arial Narrow" w:hAnsi="Arial Narrow"/>
              </w:rPr>
            </w:pPr>
            <w:r>
              <w:rPr>
                <w:rFonts w:ascii="Arial Narrow" w:hAnsi="Arial Narrow"/>
              </w:rPr>
              <w:t>6</w:t>
            </w:r>
          </w:p>
        </w:tc>
        <w:tc>
          <w:tcPr>
            <w:tcW w:w="2729" w:type="dxa"/>
          </w:tcPr>
          <w:p w:rsidR="00295886" w:rsidRDefault="00295886" w:rsidP="00614DB6">
            <w:pPr>
              <w:tabs>
                <w:tab w:val="left" w:pos="1440"/>
              </w:tabs>
              <w:spacing w:after="120"/>
              <w:rPr>
                <w:rFonts w:ascii="Arial Narrow" w:hAnsi="Arial Narrow"/>
              </w:rPr>
            </w:pPr>
            <w:r>
              <w:rPr>
                <w:rFonts w:ascii="Arial Narrow" w:hAnsi="Arial Narrow"/>
              </w:rPr>
              <w:t>Recruitment plan with projected timescales for staff in post</w:t>
            </w:r>
          </w:p>
          <w:p w:rsidR="00295886" w:rsidRDefault="00295886" w:rsidP="00614DB6">
            <w:pPr>
              <w:tabs>
                <w:tab w:val="left" w:pos="1440"/>
              </w:tabs>
              <w:spacing w:after="120"/>
              <w:rPr>
                <w:rFonts w:ascii="Arial Narrow" w:hAnsi="Arial Narrow"/>
              </w:rPr>
            </w:pPr>
            <w:r>
              <w:rPr>
                <w:rFonts w:ascii="Arial Narrow" w:hAnsi="Arial Narrow"/>
              </w:rPr>
              <w:t>Programme management support from NSS</w:t>
            </w:r>
          </w:p>
        </w:tc>
        <w:tc>
          <w:tcPr>
            <w:tcW w:w="474" w:type="dxa"/>
          </w:tcPr>
          <w:p w:rsidR="00295886" w:rsidRPr="007C7973" w:rsidRDefault="00295886" w:rsidP="00614DB6">
            <w:pPr>
              <w:rPr>
                <w:rFonts w:ascii="Arial Narrow" w:hAnsi="Arial Narrow"/>
              </w:rPr>
            </w:pPr>
            <w:r>
              <w:rPr>
                <w:rFonts w:ascii="Arial Narrow" w:hAnsi="Arial Narrow"/>
              </w:rPr>
              <w:t>1</w:t>
            </w:r>
          </w:p>
        </w:tc>
        <w:tc>
          <w:tcPr>
            <w:tcW w:w="474" w:type="dxa"/>
          </w:tcPr>
          <w:p w:rsidR="00295886" w:rsidRDefault="00295886" w:rsidP="00614DB6">
            <w:pPr>
              <w:rPr>
                <w:rFonts w:ascii="Arial Narrow" w:hAnsi="Arial Narrow"/>
              </w:rPr>
            </w:pPr>
            <w:r>
              <w:rPr>
                <w:rFonts w:ascii="Arial Narrow" w:hAnsi="Arial Narrow"/>
              </w:rPr>
              <w:t>3</w:t>
            </w:r>
          </w:p>
        </w:tc>
        <w:tc>
          <w:tcPr>
            <w:tcW w:w="474" w:type="dxa"/>
            <w:shd w:val="clear" w:color="auto" w:fill="92D050"/>
          </w:tcPr>
          <w:p w:rsidR="00295886" w:rsidRPr="007C7973" w:rsidRDefault="00295886" w:rsidP="00614DB6">
            <w:pPr>
              <w:rPr>
                <w:rFonts w:ascii="Arial Narrow" w:hAnsi="Arial Narrow"/>
              </w:rPr>
            </w:pPr>
            <w:r>
              <w:rPr>
                <w:rFonts w:ascii="Arial Narrow" w:hAnsi="Arial Narrow"/>
              </w:rPr>
              <w:t>3</w:t>
            </w:r>
          </w:p>
        </w:tc>
        <w:tc>
          <w:tcPr>
            <w:tcW w:w="3242" w:type="dxa"/>
          </w:tcPr>
          <w:p w:rsidR="00295886" w:rsidRDefault="00295886" w:rsidP="00614DB6">
            <w:pPr>
              <w:rPr>
                <w:rFonts w:ascii="Arial Narrow" w:hAnsi="Arial Narrow"/>
              </w:rPr>
            </w:pPr>
            <w:r>
              <w:rPr>
                <w:rFonts w:ascii="Arial Narrow" w:hAnsi="Arial Narrow"/>
              </w:rPr>
              <w:t>Exploring use of agency staff for programme support</w:t>
            </w:r>
          </w:p>
        </w:tc>
        <w:tc>
          <w:tcPr>
            <w:tcW w:w="1082" w:type="dxa"/>
          </w:tcPr>
          <w:p w:rsidR="00295886" w:rsidRPr="007C7973" w:rsidRDefault="00295886" w:rsidP="00614DB6">
            <w:pPr>
              <w:rPr>
                <w:rFonts w:ascii="Arial Narrow" w:hAnsi="Arial Narrow"/>
              </w:rPr>
            </w:pPr>
            <w:r w:rsidRPr="007C7973">
              <w:rPr>
                <w:rFonts w:ascii="Arial Narrow" w:hAnsi="Arial Narrow"/>
              </w:rPr>
              <w:t>2 months</w:t>
            </w:r>
          </w:p>
        </w:tc>
        <w:tc>
          <w:tcPr>
            <w:tcW w:w="917" w:type="dxa"/>
          </w:tcPr>
          <w:p w:rsidR="00295886" w:rsidRPr="007C7973" w:rsidRDefault="00295886" w:rsidP="00614DB6">
            <w:pPr>
              <w:rPr>
                <w:rFonts w:ascii="Arial Narrow" w:hAnsi="Arial Narrow"/>
              </w:rPr>
            </w:pPr>
          </w:p>
          <w:p w:rsidR="00295886" w:rsidRPr="007C7973" w:rsidRDefault="00295886" w:rsidP="00614DB6">
            <w:pPr>
              <w:rPr>
                <w:rFonts w:ascii="Arial Narrow" w:hAnsi="Arial Narrow"/>
              </w:rPr>
            </w:pPr>
            <w:r w:rsidRPr="007C7973">
              <w:rPr>
                <w:rFonts w:ascii="Arial Narrow" w:hAnsi="Arial Narrow"/>
              </w:rPr>
              <w:t>NA</w:t>
            </w:r>
          </w:p>
        </w:tc>
      </w:tr>
      <w:tr w:rsidR="00295886" w:rsidRPr="006A5AD4" w:rsidTr="00614DB6">
        <w:trPr>
          <w:cantSplit/>
          <w:trHeight w:val="1134"/>
        </w:trPr>
        <w:tc>
          <w:tcPr>
            <w:tcW w:w="569" w:type="dxa"/>
          </w:tcPr>
          <w:p w:rsidR="00295886" w:rsidRPr="00B73E91" w:rsidRDefault="00295886" w:rsidP="00614DB6">
            <w:pPr>
              <w:rPr>
                <w:rFonts w:ascii="Arial Narrow" w:hAnsi="Arial Narrow"/>
              </w:rPr>
            </w:pPr>
            <w:r>
              <w:rPr>
                <w:rFonts w:ascii="Arial Narrow" w:hAnsi="Arial Narrow"/>
              </w:rPr>
              <w:t xml:space="preserve">3. </w:t>
            </w:r>
          </w:p>
        </w:tc>
        <w:tc>
          <w:tcPr>
            <w:tcW w:w="2675" w:type="dxa"/>
          </w:tcPr>
          <w:p w:rsidR="00295886" w:rsidRDefault="00295886" w:rsidP="00614DB6">
            <w:pPr>
              <w:rPr>
                <w:rFonts w:ascii="Arial" w:eastAsia="Calibri" w:hAnsi="Arial" w:cs="Arial"/>
                <w:color w:val="000000"/>
              </w:rPr>
            </w:pPr>
            <w:r>
              <w:rPr>
                <w:rFonts w:ascii="Arial" w:eastAsia="Calibri" w:hAnsi="Arial" w:cs="Arial"/>
                <w:color w:val="000000"/>
              </w:rPr>
              <w:t>Delays to establishing agreed new programmes due to delays in agreeing funding</w:t>
            </w:r>
          </w:p>
        </w:tc>
        <w:tc>
          <w:tcPr>
            <w:tcW w:w="964" w:type="dxa"/>
          </w:tcPr>
          <w:p w:rsidR="00295886" w:rsidRPr="007C7973" w:rsidRDefault="00295886" w:rsidP="00614DB6">
            <w:pPr>
              <w:rPr>
                <w:rFonts w:ascii="Arial Narrow" w:hAnsi="Arial Narrow"/>
              </w:rPr>
            </w:pPr>
            <w:r w:rsidRPr="007C7973">
              <w:rPr>
                <w:rFonts w:ascii="Arial Narrow" w:hAnsi="Arial Narrow"/>
              </w:rPr>
              <w:t>JH/KC/NB</w:t>
            </w:r>
          </w:p>
        </w:tc>
        <w:tc>
          <w:tcPr>
            <w:tcW w:w="493" w:type="dxa"/>
          </w:tcPr>
          <w:p w:rsidR="00295886" w:rsidRDefault="00295886" w:rsidP="00614DB6">
            <w:pPr>
              <w:rPr>
                <w:rFonts w:ascii="Arial Narrow" w:hAnsi="Arial Narrow"/>
              </w:rPr>
            </w:pPr>
            <w:r>
              <w:rPr>
                <w:rFonts w:ascii="Arial Narrow" w:hAnsi="Arial Narrow"/>
              </w:rPr>
              <w:t>4</w:t>
            </w:r>
          </w:p>
        </w:tc>
        <w:tc>
          <w:tcPr>
            <w:tcW w:w="474" w:type="dxa"/>
          </w:tcPr>
          <w:p w:rsidR="00295886" w:rsidRDefault="00295886" w:rsidP="00614DB6">
            <w:pPr>
              <w:rPr>
                <w:rFonts w:ascii="Arial Narrow" w:hAnsi="Arial Narrow"/>
              </w:rPr>
            </w:pPr>
            <w:r>
              <w:rPr>
                <w:rFonts w:ascii="Arial Narrow" w:hAnsi="Arial Narrow"/>
              </w:rPr>
              <w:t>3</w:t>
            </w:r>
          </w:p>
        </w:tc>
        <w:tc>
          <w:tcPr>
            <w:tcW w:w="513" w:type="dxa"/>
            <w:shd w:val="clear" w:color="auto" w:fill="FF0000"/>
          </w:tcPr>
          <w:p w:rsidR="00295886" w:rsidRDefault="00295886" w:rsidP="00614DB6">
            <w:pPr>
              <w:rPr>
                <w:rFonts w:ascii="Arial Narrow" w:hAnsi="Arial Narrow"/>
              </w:rPr>
            </w:pPr>
            <w:r>
              <w:rPr>
                <w:rFonts w:ascii="Arial Narrow" w:hAnsi="Arial Narrow"/>
              </w:rPr>
              <w:t>12</w:t>
            </w:r>
          </w:p>
        </w:tc>
        <w:tc>
          <w:tcPr>
            <w:tcW w:w="2729" w:type="dxa"/>
          </w:tcPr>
          <w:p w:rsidR="00295886" w:rsidRDefault="00295886" w:rsidP="00614DB6">
            <w:pPr>
              <w:tabs>
                <w:tab w:val="left" w:pos="1440"/>
              </w:tabs>
              <w:spacing w:after="120"/>
              <w:rPr>
                <w:rFonts w:ascii="Arial Narrow" w:hAnsi="Arial Narrow"/>
              </w:rPr>
            </w:pPr>
            <w:r>
              <w:rPr>
                <w:rFonts w:ascii="Arial Narrow" w:hAnsi="Arial Narrow"/>
              </w:rPr>
              <w:t xml:space="preserve">Further stakeholder engagement to secure funding </w:t>
            </w:r>
          </w:p>
          <w:p w:rsidR="00295886" w:rsidRDefault="00295886" w:rsidP="00614DB6">
            <w:pPr>
              <w:tabs>
                <w:tab w:val="left" w:pos="1440"/>
              </w:tabs>
              <w:spacing w:after="120"/>
              <w:rPr>
                <w:rFonts w:ascii="Arial Narrow" w:hAnsi="Arial Narrow"/>
              </w:rPr>
            </w:pPr>
          </w:p>
        </w:tc>
        <w:tc>
          <w:tcPr>
            <w:tcW w:w="474" w:type="dxa"/>
          </w:tcPr>
          <w:p w:rsidR="00295886" w:rsidRDefault="00295886" w:rsidP="00614DB6">
            <w:pPr>
              <w:rPr>
                <w:rFonts w:ascii="Arial Narrow" w:hAnsi="Arial Narrow"/>
              </w:rPr>
            </w:pPr>
            <w:r>
              <w:rPr>
                <w:rFonts w:ascii="Arial Narrow" w:hAnsi="Arial Narrow"/>
              </w:rPr>
              <w:t>0</w:t>
            </w:r>
          </w:p>
        </w:tc>
        <w:tc>
          <w:tcPr>
            <w:tcW w:w="474" w:type="dxa"/>
          </w:tcPr>
          <w:p w:rsidR="00295886" w:rsidRDefault="00295886" w:rsidP="00614DB6">
            <w:pPr>
              <w:rPr>
                <w:rFonts w:ascii="Arial Narrow" w:hAnsi="Arial Narrow"/>
              </w:rPr>
            </w:pPr>
            <w:r>
              <w:rPr>
                <w:rFonts w:ascii="Arial Narrow" w:hAnsi="Arial Narrow"/>
              </w:rPr>
              <w:t>3</w:t>
            </w:r>
          </w:p>
        </w:tc>
        <w:tc>
          <w:tcPr>
            <w:tcW w:w="474" w:type="dxa"/>
            <w:shd w:val="clear" w:color="auto" w:fill="92D050"/>
          </w:tcPr>
          <w:p w:rsidR="00295886" w:rsidRPr="007C7973" w:rsidRDefault="00295886" w:rsidP="00614DB6">
            <w:pPr>
              <w:rPr>
                <w:rFonts w:ascii="Arial Narrow" w:hAnsi="Arial Narrow"/>
              </w:rPr>
            </w:pPr>
            <w:r>
              <w:rPr>
                <w:rFonts w:ascii="Arial Narrow" w:hAnsi="Arial Narrow"/>
              </w:rPr>
              <w:t>0</w:t>
            </w:r>
          </w:p>
        </w:tc>
        <w:tc>
          <w:tcPr>
            <w:tcW w:w="3242" w:type="dxa"/>
          </w:tcPr>
          <w:p w:rsidR="00295886" w:rsidRDefault="00295886" w:rsidP="00614DB6">
            <w:pPr>
              <w:rPr>
                <w:rFonts w:ascii="Arial Narrow" w:hAnsi="Arial Narrow"/>
              </w:rPr>
            </w:pPr>
          </w:p>
        </w:tc>
        <w:tc>
          <w:tcPr>
            <w:tcW w:w="1082" w:type="dxa"/>
          </w:tcPr>
          <w:p w:rsidR="00295886" w:rsidRPr="007C7973" w:rsidRDefault="00295886" w:rsidP="00614DB6">
            <w:pPr>
              <w:rPr>
                <w:rFonts w:ascii="Arial Narrow" w:hAnsi="Arial Narrow"/>
              </w:rPr>
            </w:pPr>
            <w:r w:rsidRPr="007C7973">
              <w:rPr>
                <w:rFonts w:ascii="Arial Narrow" w:hAnsi="Arial Narrow"/>
              </w:rPr>
              <w:t>2 months</w:t>
            </w:r>
          </w:p>
        </w:tc>
        <w:tc>
          <w:tcPr>
            <w:tcW w:w="917" w:type="dxa"/>
          </w:tcPr>
          <w:p w:rsidR="00295886" w:rsidRPr="007C7973" w:rsidRDefault="00295886" w:rsidP="00614DB6">
            <w:pPr>
              <w:rPr>
                <w:rFonts w:ascii="Arial Narrow" w:hAnsi="Arial Narrow"/>
              </w:rPr>
            </w:pPr>
          </w:p>
          <w:p w:rsidR="00295886" w:rsidRPr="007C7973" w:rsidRDefault="00295886" w:rsidP="00614DB6">
            <w:pPr>
              <w:rPr>
                <w:rFonts w:ascii="Arial Narrow" w:hAnsi="Arial Narrow"/>
              </w:rPr>
            </w:pPr>
            <w:r w:rsidRPr="007C7973">
              <w:rPr>
                <w:rFonts w:ascii="Arial Narrow" w:hAnsi="Arial Narrow"/>
              </w:rPr>
              <w:t>NA</w:t>
            </w:r>
          </w:p>
        </w:tc>
      </w:tr>
      <w:tr w:rsidR="00295886" w:rsidRPr="006A5AD4" w:rsidTr="00614DB6">
        <w:trPr>
          <w:cantSplit/>
          <w:trHeight w:val="1134"/>
        </w:trPr>
        <w:tc>
          <w:tcPr>
            <w:tcW w:w="569" w:type="dxa"/>
          </w:tcPr>
          <w:p w:rsidR="00295886" w:rsidRDefault="00295886" w:rsidP="00614DB6">
            <w:pPr>
              <w:rPr>
                <w:rFonts w:ascii="Arial Narrow" w:hAnsi="Arial Narrow"/>
              </w:rPr>
            </w:pPr>
            <w:r>
              <w:rPr>
                <w:rFonts w:ascii="Arial Narrow" w:hAnsi="Arial Narrow"/>
              </w:rPr>
              <w:t xml:space="preserve">4. </w:t>
            </w:r>
          </w:p>
        </w:tc>
        <w:tc>
          <w:tcPr>
            <w:tcW w:w="2675" w:type="dxa"/>
          </w:tcPr>
          <w:p w:rsidR="00295886" w:rsidRDefault="00295886" w:rsidP="00614DB6">
            <w:pPr>
              <w:rPr>
                <w:rFonts w:ascii="Arial" w:eastAsia="Calibri" w:hAnsi="Arial" w:cs="Arial"/>
                <w:color w:val="000000"/>
              </w:rPr>
            </w:pPr>
            <w:r>
              <w:rPr>
                <w:rFonts w:ascii="Arial" w:eastAsia="Calibri" w:hAnsi="Arial" w:cs="Arial"/>
                <w:color w:val="000000"/>
              </w:rPr>
              <w:t>Demand for new programmes exceeds CfSD capacity</w:t>
            </w:r>
          </w:p>
        </w:tc>
        <w:tc>
          <w:tcPr>
            <w:tcW w:w="964" w:type="dxa"/>
          </w:tcPr>
          <w:p w:rsidR="00295886" w:rsidRPr="007C7973" w:rsidRDefault="00295886" w:rsidP="00614DB6">
            <w:pPr>
              <w:rPr>
                <w:rFonts w:ascii="Arial Narrow" w:hAnsi="Arial Narrow"/>
              </w:rPr>
            </w:pPr>
            <w:r w:rsidRPr="007C7973">
              <w:rPr>
                <w:rFonts w:ascii="Arial Narrow" w:hAnsi="Arial Narrow"/>
              </w:rPr>
              <w:t>JH/KC/NB</w:t>
            </w:r>
          </w:p>
        </w:tc>
        <w:tc>
          <w:tcPr>
            <w:tcW w:w="493" w:type="dxa"/>
          </w:tcPr>
          <w:p w:rsidR="00295886" w:rsidRDefault="00295886" w:rsidP="00614DB6">
            <w:pPr>
              <w:rPr>
                <w:rFonts w:ascii="Arial Narrow" w:hAnsi="Arial Narrow"/>
              </w:rPr>
            </w:pPr>
            <w:r>
              <w:rPr>
                <w:rFonts w:ascii="Arial Narrow" w:hAnsi="Arial Narrow"/>
              </w:rPr>
              <w:t>1</w:t>
            </w:r>
          </w:p>
        </w:tc>
        <w:tc>
          <w:tcPr>
            <w:tcW w:w="474" w:type="dxa"/>
          </w:tcPr>
          <w:p w:rsidR="00295886" w:rsidRDefault="00295886" w:rsidP="00614DB6">
            <w:pPr>
              <w:rPr>
                <w:rFonts w:ascii="Arial Narrow" w:hAnsi="Arial Narrow"/>
              </w:rPr>
            </w:pPr>
            <w:r>
              <w:rPr>
                <w:rFonts w:ascii="Arial Narrow" w:hAnsi="Arial Narrow"/>
              </w:rPr>
              <w:t>3</w:t>
            </w:r>
          </w:p>
        </w:tc>
        <w:tc>
          <w:tcPr>
            <w:tcW w:w="513" w:type="dxa"/>
            <w:shd w:val="clear" w:color="auto" w:fill="92D050"/>
          </w:tcPr>
          <w:p w:rsidR="00295886" w:rsidRDefault="00295886" w:rsidP="00614DB6">
            <w:pPr>
              <w:rPr>
                <w:rFonts w:ascii="Arial Narrow" w:hAnsi="Arial Narrow"/>
              </w:rPr>
            </w:pPr>
            <w:r>
              <w:rPr>
                <w:rFonts w:ascii="Arial Narrow" w:hAnsi="Arial Narrow"/>
              </w:rPr>
              <w:t>3</w:t>
            </w:r>
          </w:p>
        </w:tc>
        <w:tc>
          <w:tcPr>
            <w:tcW w:w="2729" w:type="dxa"/>
          </w:tcPr>
          <w:p w:rsidR="00295886" w:rsidRDefault="00295886" w:rsidP="00614DB6">
            <w:pPr>
              <w:tabs>
                <w:tab w:val="left" w:pos="1440"/>
              </w:tabs>
              <w:spacing w:after="120"/>
              <w:rPr>
                <w:rFonts w:ascii="Arial Narrow" w:hAnsi="Arial Narrow"/>
              </w:rPr>
            </w:pPr>
            <w:r>
              <w:rPr>
                <w:rFonts w:ascii="Arial Narrow" w:hAnsi="Arial Narrow"/>
              </w:rPr>
              <w:t>Rapid assessment process to:</w:t>
            </w:r>
          </w:p>
          <w:p w:rsidR="00295886" w:rsidRDefault="00295886" w:rsidP="00295886">
            <w:pPr>
              <w:pStyle w:val="ListParagraph"/>
              <w:numPr>
                <w:ilvl w:val="0"/>
                <w:numId w:val="8"/>
              </w:numPr>
              <w:tabs>
                <w:tab w:val="left" w:pos="1440"/>
              </w:tabs>
              <w:spacing w:after="120"/>
              <w:ind w:left="417"/>
              <w:contextualSpacing w:val="0"/>
              <w:rPr>
                <w:rFonts w:ascii="Arial Narrow" w:hAnsi="Arial Narrow"/>
              </w:rPr>
            </w:pPr>
            <w:r w:rsidRPr="005F465D">
              <w:rPr>
                <w:rFonts w:ascii="Arial Narrow" w:hAnsi="Arial Narrow"/>
              </w:rPr>
              <w:t>support prioritisation of existing resource</w:t>
            </w:r>
          </w:p>
          <w:p w:rsidR="00295886" w:rsidRDefault="00295886" w:rsidP="00295886">
            <w:pPr>
              <w:pStyle w:val="ListParagraph"/>
              <w:numPr>
                <w:ilvl w:val="0"/>
                <w:numId w:val="8"/>
              </w:numPr>
              <w:tabs>
                <w:tab w:val="left" w:pos="1440"/>
              </w:tabs>
              <w:spacing w:after="120"/>
              <w:ind w:left="417"/>
              <w:contextualSpacing w:val="0"/>
              <w:rPr>
                <w:rFonts w:ascii="Arial Narrow" w:hAnsi="Arial Narrow"/>
              </w:rPr>
            </w:pPr>
            <w:r>
              <w:rPr>
                <w:rFonts w:ascii="Arial Narrow" w:hAnsi="Arial Narrow"/>
              </w:rPr>
              <w:t>quantification of new resource required</w:t>
            </w:r>
          </w:p>
          <w:p w:rsidR="00295886" w:rsidRPr="005F465D" w:rsidRDefault="00295886" w:rsidP="00614DB6">
            <w:pPr>
              <w:tabs>
                <w:tab w:val="left" w:pos="1440"/>
              </w:tabs>
              <w:spacing w:after="120"/>
              <w:ind w:left="57"/>
              <w:rPr>
                <w:rFonts w:ascii="Arial Narrow" w:hAnsi="Arial Narrow"/>
              </w:rPr>
            </w:pPr>
            <w:r>
              <w:rPr>
                <w:rFonts w:ascii="Arial Narrow" w:hAnsi="Arial Narrow"/>
              </w:rPr>
              <w:t xml:space="preserve">Stakeholder engagement with </w:t>
            </w:r>
            <w:proofErr w:type="spellStart"/>
            <w:r>
              <w:rPr>
                <w:rFonts w:ascii="Arial Narrow" w:hAnsi="Arial Narrow"/>
              </w:rPr>
              <w:t>scottish</w:t>
            </w:r>
            <w:proofErr w:type="spellEnd"/>
            <w:r>
              <w:rPr>
                <w:rFonts w:ascii="Arial Narrow" w:hAnsi="Arial Narrow"/>
              </w:rPr>
              <w:t xml:space="preserve"> government sponsors to prioritise workplan and/or secure resource</w:t>
            </w:r>
          </w:p>
          <w:p w:rsidR="00295886" w:rsidRDefault="00295886" w:rsidP="00614DB6">
            <w:pPr>
              <w:tabs>
                <w:tab w:val="left" w:pos="1440"/>
              </w:tabs>
              <w:spacing w:after="120"/>
              <w:rPr>
                <w:rFonts w:ascii="Arial Narrow" w:hAnsi="Arial Narrow"/>
              </w:rPr>
            </w:pPr>
          </w:p>
        </w:tc>
        <w:tc>
          <w:tcPr>
            <w:tcW w:w="474" w:type="dxa"/>
          </w:tcPr>
          <w:p w:rsidR="00295886" w:rsidRDefault="00295886" w:rsidP="00614DB6">
            <w:pPr>
              <w:rPr>
                <w:rFonts w:ascii="Arial Narrow" w:hAnsi="Arial Narrow"/>
              </w:rPr>
            </w:pPr>
            <w:r>
              <w:rPr>
                <w:rFonts w:ascii="Arial Narrow" w:hAnsi="Arial Narrow"/>
              </w:rPr>
              <w:t>1</w:t>
            </w:r>
          </w:p>
        </w:tc>
        <w:tc>
          <w:tcPr>
            <w:tcW w:w="474" w:type="dxa"/>
          </w:tcPr>
          <w:p w:rsidR="00295886" w:rsidRDefault="00295886" w:rsidP="00614DB6">
            <w:pPr>
              <w:rPr>
                <w:rFonts w:ascii="Arial Narrow" w:hAnsi="Arial Narrow"/>
              </w:rPr>
            </w:pPr>
            <w:r>
              <w:rPr>
                <w:rFonts w:ascii="Arial Narrow" w:hAnsi="Arial Narrow"/>
              </w:rPr>
              <w:t>3</w:t>
            </w:r>
          </w:p>
        </w:tc>
        <w:tc>
          <w:tcPr>
            <w:tcW w:w="474" w:type="dxa"/>
            <w:shd w:val="clear" w:color="auto" w:fill="92D050"/>
          </w:tcPr>
          <w:p w:rsidR="00295886" w:rsidRDefault="00295886" w:rsidP="00614DB6">
            <w:pPr>
              <w:rPr>
                <w:rFonts w:ascii="Arial Narrow" w:hAnsi="Arial Narrow"/>
              </w:rPr>
            </w:pPr>
            <w:r>
              <w:rPr>
                <w:rFonts w:ascii="Arial Narrow" w:hAnsi="Arial Narrow"/>
              </w:rPr>
              <w:t>3</w:t>
            </w:r>
          </w:p>
        </w:tc>
        <w:tc>
          <w:tcPr>
            <w:tcW w:w="3242" w:type="dxa"/>
          </w:tcPr>
          <w:p w:rsidR="00295886" w:rsidRDefault="00295886" w:rsidP="00614DB6">
            <w:pPr>
              <w:rPr>
                <w:rFonts w:ascii="Arial Narrow" w:hAnsi="Arial Narrow"/>
              </w:rPr>
            </w:pPr>
          </w:p>
        </w:tc>
        <w:tc>
          <w:tcPr>
            <w:tcW w:w="1082" w:type="dxa"/>
          </w:tcPr>
          <w:p w:rsidR="00295886" w:rsidRPr="007C7973" w:rsidRDefault="00295886" w:rsidP="00614DB6">
            <w:pPr>
              <w:rPr>
                <w:rFonts w:ascii="Arial Narrow" w:hAnsi="Arial Narrow"/>
              </w:rPr>
            </w:pPr>
          </w:p>
        </w:tc>
        <w:tc>
          <w:tcPr>
            <w:tcW w:w="917" w:type="dxa"/>
          </w:tcPr>
          <w:p w:rsidR="00295886" w:rsidRPr="007C7973" w:rsidRDefault="00295886" w:rsidP="00614DB6">
            <w:pPr>
              <w:rPr>
                <w:rFonts w:ascii="Arial Narrow" w:hAnsi="Arial Narrow"/>
              </w:rPr>
            </w:pPr>
          </w:p>
        </w:tc>
      </w:tr>
    </w:tbl>
    <w:p w:rsidR="00295886" w:rsidRPr="00AC2EB4" w:rsidRDefault="00295886" w:rsidP="00295886">
      <w:pPr>
        <w:spacing w:after="0"/>
        <w:ind w:left="567"/>
        <w:rPr>
          <w:rFonts w:ascii="Arial" w:hAnsi="Arial" w:cs="Arial"/>
          <w:b/>
        </w:rPr>
      </w:pPr>
    </w:p>
    <w:sectPr w:rsidR="00295886" w:rsidRPr="00AC2EB4" w:rsidSect="00295886">
      <w:pgSz w:w="16838" w:h="11906" w:orient="landscape"/>
      <w:pgMar w:top="993" w:right="111" w:bottom="84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6F15" w:rsidRDefault="00246F15" w:rsidP="00246F15">
      <w:pPr>
        <w:spacing w:after="0" w:line="240" w:lineRule="auto"/>
      </w:pPr>
      <w:r>
        <w:separator/>
      </w:r>
    </w:p>
  </w:endnote>
  <w:endnote w:type="continuationSeparator" w:id="0">
    <w:p w:rsidR="00246F15" w:rsidRDefault="00246F15" w:rsidP="00246F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6F15" w:rsidRDefault="00246F15" w:rsidP="00246F15">
      <w:pPr>
        <w:spacing w:after="0" w:line="240" w:lineRule="auto"/>
      </w:pPr>
      <w:r>
        <w:separator/>
      </w:r>
    </w:p>
  </w:footnote>
  <w:footnote w:type="continuationSeparator" w:id="0">
    <w:p w:rsidR="00246F15" w:rsidRDefault="00246F15" w:rsidP="00246F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6F15" w:rsidRPr="00B35BDE" w:rsidRDefault="00B35BDE" w:rsidP="00246F15">
    <w:pPr>
      <w:pStyle w:val="Header"/>
      <w:jc w:val="right"/>
      <w:rPr>
        <w:rFonts w:ascii="Arial" w:hAnsi="Arial" w:cs="Arial"/>
        <w:b/>
        <w:color w:val="0070C0"/>
        <w:szCs w:val="20"/>
      </w:rPr>
    </w:pPr>
    <w:r w:rsidRPr="00B35BDE">
      <w:rPr>
        <w:rFonts w:ascii="Arial" w:hAnsi="Arial" w:cs="Arial"/>
        <w:b/>
        <w:color w:val="0070C0"/>
        <w:szCs w:val="20"/>
      </w:rPr>
      <w:t>Item 8.2</w:t>
    </w:r>
    <w:r>
      <w:rPr>
        <w:rFonts w:ascii="Arial" w:hAnsi="Arial" w:cs="Arial"/>
        <w:b/>
        <w:color w:val="0070C0"/>
        <w:szCs w:val="20"/>
      </w:rPr>
      <w:t>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85B0F"/>
    <w:multiLevelType w:val="hybridMultilevel"/>
    <w:tmpl w:val="3D8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F413935"/>
    <w:multiLevelType w:val="hybridMultilevel"/>
    <w:tmpl w:val="D9A06B16"/>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 w15:restartNumberingAfterBreak="0">
    <w:nsid w:val="2C404CB8"/>
    <w:multiLevelType w:val="hybridMultilevel"/>
    <w:tmpl w:val="CF045E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48B058A9"/>
    <w:multiLevelType w:val="hybridMultilevel"/>
    <w:tmpl w:val="111CB426"/>
    <w:lvl w:ilvl="0" w:tplc="CAA6BBC6">
      <w:start w:val="1"/>
      <w:numFmt w:val="bullet"/>
      <w:lvlText w:val="•"/>
      <w:lvlJc w:val="left"/>
      <w:pPr>
        <w:tabs>
          <w:tab w:val="num" w:pos="720"/>
        </w:tabs>
        <w:ind w:left="720" w:hanging="360"/>
      </w:pPr>
      <w:rPr>
        <w:rFonts w:ascii="Arial" w:hAnsi="Arial" w:hint="default"/>
      </w:rPr>
    </w:lvl>
    <w:lvl w:ilvl="1" w:tplc="294801A4" w:tentative="1">
      <w:start w:val="1"/>
      <w:numFmt w:val="bullet"/>
      <w:lvlText w:val="•"/>
      <w:lvlJc w:val="left"/>
      <w:pPr>
        <w:tabs>
          <w:tab w:val="num" w:pos="1440"/>
        </w:tabs>
        <w:ind w:left="1440" w:hanging="360"/>
      </w:pPr>
      <w:rPr>
        <w:rFonts w:ascii="Arial" w:hAnsi="Arial" w:hint="default"/>
      </w:rPr>
    </w:lvl>
    <w:lvl w:ilvl="2" w:tplc="60B2EA66" w:tentative="1">
      <w:start w:val="1"/>
      <w:numFmt w:val="bullet"/>
      <w:lvlText w:val="•"/>
      <w:lvlJc w:val="left"/>
      <w:pPr>
        <w:tabs>
          <w:tab w:val="num" w:pos="2160"/>
        </w:tabs>
        <w:ind w:left="2160" w:hanging="360"/>
      </w:pPr>
      <w:rPr>
        <w:rFonts w:ascii="Arial" w:hAnsi="Arial" w:hint="default"/>
      </w:rPr>
    </w:lvl>
    <w:lvl w:ilvl="3" w:tplc="0F76A352" w:tentative="1">
      <w:start w:val="1"/>
      <w:numFmt w:val="bullet"/>
      <w:lvlText w:val="•"/>
      <w:lvlJc w:val="left"/>
      <w:pPr>
        <w:tabs>
          <w:tab w:val="num" w:pos="2880"/>
        </w:tabs>
        <w:ind w:left="2880" w:hanging="360"/>
      </w:pPr>
      <w:rPr>
        <w:rFonts w:ascii="Arial" w:hAnsi="Arial" w:hint="default"/>
      </w:rPr>
    </w:lvl>
    <w:lvl w:ilvl="4" w:tplc="1E82D53C" w:tentative="1">
      <w:start w:val="1"/>
      <w:numFmt w:val="bullet"/>
      <w:lvlText w:val="•"/>
      <w:lvlJc w:val="left"/>
      <w:pPr>
        <w:tabs>
          <w:tab w:val="num" w:pos="3600"/>
        </w:tabs>
        <w:ind w:left="3600" w:hanging="360"/>
      </w:pPr>
      <w:rPr>
        <w:rFonts w:ascii="Arial" w:hAnsi="Arial" w:hint="default"/>
      </w:rPr>
    </w:lvl>
    <w:lvl w:ilvl="5" w:tplc="18CC9BBC" w:tentative="1">
      <w:start w:val="1"/>
      <w:numFmt w:val="bullet"/>
      <w:lvlText w:val="•"/>
      <w:lvlJc w:val="left"/>
      <w:pPr>
        <w:tabs>
          <w:tab w:val="num" w:pos="4320"/>
        </w:tabs>
        <w:ind w:left="4320" w:hanging="360"/>
      </w:pPr>
      <w:rPr>
        <w:rFonts w:ascii="Arial" w:hAnsi="Arial" w:hint="default"/>
      </w:rPr>
    </w:lvl>
    <w:lvl w:ilvl="6" w:tplc="08D6404A" w:tentative="1">
      <w:start w:val="1"/>
      <w:numFmt w:val="bullet"/>
      <w:lvlText w:val="•"/>
      <w:lvlJc w:val="left"/>
      <w:pPr>
        <w:tabs>
          <w:tab w:val="num" w:pos="5040"/>
        </w:tabs>
        <w:ind w:left="5040" w:hanging="360"/>
      </w:pPr>
      <w:rPr>
        <w:rFonts w:ascii="Arial" w:hAnsi="Arial" w:hint="default"/>
      </w:rPr>
    </w:lvl>
    <w:lvl w:ilvl="7" w:tplc="C8B08E8E" w:tentative="1">
      <w:start w:val="1"/>
      <w:numFmt w:val="bullet"/>
      <w:lvlText w:val="•"/>
      <w:lvlJc w:val="left"/>
      <w:pPr>
        <w:tabs>
          <w:tab w:val="num" w:pos="5760"/>
        </w:tabs>
        <w:ind w:left="5760" w:hanging="360"/>
      </w:pPr>
      <w:rPr>
        <w:rFonts w:ascii="Arial" w:hAnsi="Arial" w:hint="default"/>
      </w:rPr>
    </w:lvl>
    <w:lvl w:ilvl="8" w:tplc="7CD0B1F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6CBD6CF9"/>
    <w:multiLevelType w:val="hybridMultilevel"/>
    <w:tmpl w:val="9406384E"/>
    <w:lvl w:ilvl="0" w:tplc="5E6013C2">
      <w:start w:val="1"/>
      <w:numFmt w:val="bullet"/>
      <w:lvlText w:val="•"/>
      <w:lvlJc w:val="left"/>
      <w:pPr>
        <w:tabs>
          <w:tab w:val="num" w:pos="720"/>
        </w:tabs>
        <w:ind w:left="720" w:hanging="360"/>
      </w:pPr>
      <w:rPr>
        <w:rFonts w:ascii="Arial" w:hAnsi="Arial" w:hint="default"/>
      </w:rPr>
    </w:lvl>
    <w:lvl w:ilvl="1" w:tplc="5300AEC8">
      <w:start w:val="78"/>
      <w:numFmt w:val="bullet"/>
      <w:lvlText w:val="–"/>
      <w:lvlJc w:val="left"/>
      <w:pPr>
        <w:tabs>
          <w:tab w:val="num" w:pos="1440"/>
        </w:tabs>
        <w:ind w:left="1440" w:hanging="360"/>
      </w:pPr>
      <w:rPr>
        <w:rFonts w:ascii="Arial" w:hAnsi="Arial" w:hint="default"/>
      </w:rPr>
    </w:lvl>
    <w:lvl w:ilvl="2" w:tplc="D6E0E67E" w:tentative="1">
      <w:start w:val="1"/>
      <w:numFmt w:val="bullet"/>
      <w:lvlText w:val="•"/>
      <w:lvlJc w:val="left"/>
      <w:pPr>
        <w:tabs>
          <w:tab w:val="num" w:pos="2160"/>
        </w:tabs>
        <w:ind w:left="2160" w:hanging="360"/>
      </w:pPr>
      <w:rPr>
        <w:rFonts w:ascii="Arial" w:hAnsi="Arial" w:hint="default"/>
      </w:rPr>
    </w:lvl>
    <w:lvl w:ilvl="3" w:tplc="EE1EB73E" w:tentative="1">
      <w:start w:val="1"/>
      <w:numFmt w:val="bullet"/>
      <w:lvlText w:val="•"/>
      <w:lvlJc w:val="left"/>
      <w:pPr>
        <w:tabs>
          <w:tab w:val="num" w:pos="2880"/>
        </w:tabs>
        <w:ind w:left="2880" w:hanging="360"/>
      </w:pPr>
      <w:rPr>
        <w:rFonts w:ascii="Arial" w:hAnsi="Arial" w:hint="default"/>
      </w:rPr>
    </w:lvl>
    <w:lvl w:ilvl="4" w:tplc="42F06DA2" w:tentative="1">
      <w:start w:val="1"/>
      <w:numFmt w:val="bullet"/>
      <w:lvlText w:val="•"/>
      <w:lvlJc w:val="left"/>
      <w:pPr>
        <w:tabs>
          <w:tab w:val="num" w:pos="3600"/>
        </w:tabs>
        <w:ind w:left="3600" w:hanging="360"/>
      </w:pPr>
      <w:rPr>
        <w:rFonts w:ascii="Arial" w:hAnsi="Arial" w:hint="default"/>
      </w:rPr>
    </w:lvl>
    <w:lvl w:ilvl="5" w:tplc="5AA00ED0" w:tentative="1">
      <w:start w:val="1"/>
      <w:numFmt w:val="bullet"/>
      <w:lvlText w:val="•"/>
      <w:lvlJc w:val="left"/>
      <w:pPr>
        <w:tabs>
          <w:tab w:val="num" w:pos="4320"/>
        </w:tabs>
        <w:ind w:left="4320" w:hanging="360"/>
      </w:pPr>
      <w:rPr>
        <w:rFonts w:ascii="Arial" w:hAnsi="Arial" w:hint="default"/>
      </w:rPr>
    </w:lvl>
    <w:lvl w:ilvl="6" w:tplc="A6885312" w:tentative="1">
      <w:start w:val="1"/>
      <w:numFmt w:val="bullet"/>
      <w:lvlText w:val="•"/>
      <w:lvlJc w:val="left"/>
      <w:pPr>
        <w:tabs>
          <w:tab w:val="num" w:pos="5040"/>
        </w:tabs>
        <w:ind w:left="5040" w:hanging="360"/>
      </w:pPr>
      <w:rPr>
        <w:rFonts w:ascii="Arial" w:hAnsi="Arial" w:hint="default"/>
      </w:rPr>
    </w:lvl>
    <w:lvl w:ilvl="7" w:tplc="6808888C" w:tentative="1">
      <w:start w:val="1"/>
      <w:numFmt w:val="bullet"/>
      <w:lvlText w:val="•"/>
      <w:lvlJc w:val="left"/>
      <w:pPr>
        <w:tabs>
          <w:tab w:val="num" w:pos="5760"/>
        </w:tabs>
        <w:ind w:left="5760" w:hanging="360"/>
      </w:pPr>
      <w:rPr>
        <w:rFonts w:ascii="Arial" w:hAnsi="Arial" w:hint="default"/>
      </w:rPr>
    </w:lvl>
    <w:lvl w:ilvl="8" w:tplc="D1287D6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701B1207"/>
    <w:multiLevelType w:val="hybridMultilevel"/>
    <w:tmpl w:val="88C2DF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D61411C"/>
    <w:multiLevelType w:val="hybridMultilevel"/>
    <w:tmpl w:val="286AF0C6"/>
    <w:lvl w:ilvl="0" w:tplc="76AADD56">
      <w:start w:val="1"/>
      <w:numFmt w:val="bullet"/>
      <w:lvlText w:val="•"/>
      <w:lvlJc w:val="left"/>
      <w:pPr>
        <w:tabs>
          <w:tab w:val="num" w:pos="720"/>
        </w:tabs>
        <w:ind w:left="720" w:hanging="360"/>
      </w:pPr>
      <w:rPr>
        <w:rFonts w:ascii="Arial" w:hAnsi="Arial" w:hint="default"/>
      </w:rPr>
    </w:lvl>
    <w:lvl w:ilvl="1" w:tplc="D7AEBE4A" w:tentative="1">
      <w:start w:val="1"/>
      <w:numFmt w:val="bullet"/>
      <w:lvlText w:val="•"/>
      <w:lvlJc w:val="left"/>
      <w:pPr>
        <w:tabs>
          <w:tab w:val="num" w:pos="1440"/>
        </w:tabs>
        <w:ind w:left="1440" w:hanging="360"/>
      </w:pPr>
      <w:rPr>
        <w:rFonts w:ascii="Arial" w:hAnsi="Arial" w:hint="default"/>
      </w:rPr>
    </w:lvl>
    <w:lvl w:ilvl="2" w:tplc="B21C938C" w:tentative="1">
      <w:start w:val="1"/>
      <w:numFmt w:val="bullet"/>
      <w:lvlText w:val="•"/>
      <w:lvlJc w:val="left"/>
      <w:pPr>
        <w:tabs>
          <w:tab w:val="num" w:pos="2160"/>
        </w:tabs>
        <w:ind w:left="2160" w:hanging="360"/>
      </w:pPr>
      <w:rPr>
        <w:rFonts w:ascii="Arial" w:hAnsi="Arial" w:hint="default"/>
      </w:rPr>
    </w:lvl>
    <w:lvl w:ilvl="3" w:tplc="E3944D58" w:tentative="1">
      <w:start w:val="1"/>
      <w:numFmt w:val="bullet"/>
      <w:lvlText w:val="•"/>
      <w:lvlJc w:val="left"/>
      <w:pPr>
        <w:tabs>
          <w:tab w:val="num" w:pos="2880"/>
        </w:tabs>
        <w:ind w:left="2880" w:hanging="360"/>
      </w:pPr>
      <w:rPr>
        <w:rFonts w:ascii="Arial" w:hAnsi="Arial" w:hint="default"/>
      </w:rPr>
    </w:lvl>
    <w:lvl w:ilvl="4" w:tplc="A27E6202" w:tentative="1">
      <w:start w:val="1"/>
      <w:numFmt w:val="bullet"/>
      <w:lvlText w:val="•"/>
      <w:lvlJc w:val="left"/>
      <w:pPr>
        <w:tabs>
          <w:tab w:val="num" w:pos="3600"/>
        </w:tabs>
        <w:ind w:left="3600" w:hanging="360"/>
      </w:pPr>
      <w:rPr>
        <w:rFonts w:ascii="Arial" w:hAnsi="Arial" w:hint="default"/>
      </w:rPr>
    </w:lvl>
    <w:lvl w:ilvl="5" w:tplc="7CC65708" w:tentative="1">
      <w:start w:val="1"/>
      <w:numFmt w:val="bullet"/>
      <w:lvlText w:val="•"/>
      <w:lvlJc w:val="left"/>
      <w:pPr>
        <w:tabs>
          <w:tab w:val="num" w:pos="4320"/>
        </w:tabs>
        <w:ind w:left="4320" w:hanging="360"/>
      </w:pPr>
      <w:rPr>
        <w:rFonts w:ascii="Arial" w:hAnsi="Arial" w:hint="default"/>
      </w:rPr>
    </w:lvl>
    <w:lvl w:ilvl="6" w:tplc="2E60A7C8" w:tentative="1">
      <w:start w:val="1"/>
      <w:numFmt w:val="bullet"/>
      <w:lvlText w:val="•"/>
      <w:lvlJc w:val="left"/>
      <w:pPr>
        <w:tabs>
          <w:tab w:val="num" w:pos="5040"/>
        </w:tabs>
        <w:ind w:left="5040" w:hanging="360"/>
      </w:pPr>
      <w:rPr>
        <w:rFonts w:ascii="Arial" w:hAnsi="Arial" w:hint="default"/>
      </w:rPr>
    </w:lvl>
    <w:lvl w:ilvl="7" w:tplc="5016ED2A" w:tentative="1">
      <w:start w:val="1"/>
      <w:numFmt w:val="bullet"/>
      <w:lvlText w:val="•"/>
      <w:lvlJc w:val="left"/>
      <w:pPr>
        <w:tabs>
          <w:tab w:val="num" w:pos="5760"/>
        </w:tabs>
        <w:ind w:left="5760" w:hanging="360"/>
      </w:pPr>
      <w:rPr>
        <w:rFonts w:ascii="Arial" w:hAnsi="Arial" w:hint="default"/>
      </w:rPr>
    </w:lvl>
    <w:lvl w:ilvl="8" w:tplc="04EC3AB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7EBD7872"/>
    <w:multiLevelType w:val="hybridMultilevel"/>
    <w:tmpl w:val="0186D5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2"/>
  </w:num>
  <w:num w:numId="4">
    <w:abstractNumId w:val="3"/>
  </w:num>
  <w:num w:numId="5">
    <w:abstractNumId w:val="4"/>
  </w:num>
  <w:num w:numId="6">
    <w:abstractNumId w:val="0"/>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5810"/>
    <w:rsid w:val="0010054B"/>
    <w:rsid w:val="00246F15"/>
    <w:rsid w:val="00295886"/>
    <w:rsid w:val="00414A50"/>
    <w:rsid w:val="00425129"/>
    <w:rsid w:val="00634E1B"/>
    <w:rsid w:val="00655810"/>
    <w:rsid w:val="006E5D18"/>
    <w:rsid w:val="00764825"/>
    <w:rsid w:val="00801CF3"/>
    <w:rsid w:val="00920253"/>
    <w:rsid w:val="00A41770"/>
    <w:rsid w:val="00A50F5E"/>
    <w:rsid w:val="00AA5B28"/>
    <w:rsid w:val="00AC2EB4"/>
    <w:rsid w:val="00AE2D26"/>
    <w:rsid w:val="00B35BDE"/>
    <w:rsid w:val="00CC58F2"/>
    <w:rsid w:val="00CF5045"/>
    <w:rsid w:val="00D813ED"/>
    <w:rsid w:val="00E204DE"/>
    <w:rsid w:val="00E418E2"/>
    <w:rsid w:val="00F00585"/>
    <w:rsid w:val="00F37C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2D006"/>
  <w15:chartTrackingRefBased/>
  <w15:docId w15:val="{74CFC27E-CFF5-4727-866E-5CD26E455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5810"/>
    <w:pPr>
      <w:ind w:left="720"/>
      <w:contextualSpacing/>
    </w:pPr>
  </w:style>
  <w:style w:type="character" w:styleId="CommentReference">
    <w:name w:val="annotation reference"/>
    <w:basedOn w:val="DefaultParagraphFont"/>
    <w:uiPriority w:val="99"/>
    <w:semiHidden/>
    <w:unhideWhenUsed/>
    <w:rsid w:val="00655810"/>
    <w:rPr>
      <w:sz w:val="16"/>
      <w:szCs w:val="16"/>
    </w:rPr>
  </w:style>
  <w:style w:type="paragraph" w:styleId="CommentText">
    <w:name w:val="annotation text"/>
    <w:basedOn w:val="Normal"/>
    <w:link w:val="CommentTextChar"/>
    <w:uiPriority w:val="99"/>
    <w:semiHidden/>
    <w:unhideWhenUsed/>
    <w:rsid w:val="00655810"/>
    <w:pPr>
      <w:spacing w:line="240" w:lineRule="auto"/>
    </w:pPr>
    <w:rPr>
      <w:sz w:val="20"/>
      <w:szCs w:val="20"/>
    </w:rPr>
  </w:style>
  <w:style w:type="character" w:customStyle="1" w:styleId="CommentTextChar">
    <w:name w:val="Comment Text Char"/>
    <w:basedOn w:val="DefaultParagraphFont"/>
    <w:link w:val="CommentText"/>
    <w:uiPriority w:val="99"/>
    <w:semiHidden/>
    <w:rsid w:val="00655810"/>
    <w:rPr>
      <w:sz w:val="20"/>
      <w:szCs w:val="20"/>
    </w:rPr>
  </w:style>
  <w:style w:type="paragraph" w:styleId="CommentSubject">
    <w:name w:val="annotation subject"/>
    <w:basedOn w:val="CommentText"/>
    <w:next w:val="CommentText"/>
    <w:link w:val="CommentSubjectChar"/>
    <w:uiPriority w:val="99"/>
    <w:semiHidden/>
    <w:unhideWhenUsed/>
    <w:rsid w:val="00655810"/>
    <w:rPr>
      <w:b/>
      <w:bCs/>
    </w:rPr>
  </w:style>
  <w:style w:type="character" w:customStyle="1" w:styleId="CommentSubjectChar">
    <w:name w:val="Comment Subject Char"/>
    <w:basedOn w:val="CommentTextChar"/>
    <w:link w:val="CommentSubject"/>
    <w:uiPriority w:val="99"/>
    <w:semiHidden/>
    <w:rsid w:val="00655810"/>
    <w:rPr>
      <w:b/>
      <w:bCs/>
      <w:sz w:val="20"/>
      <w:szCs w:val="20"/>
    </w:rPr>
  </w:style>
  <w:style w:type="paragraph" w:styleId="BalloonText">
    <w:name w:val="Balloon Text"/>
    <w:basedOn w:val="Normal"/>
    <w:link w:val="BalloonTextChar"/>
    <w:uiPriority w:val="99"/>
    <w:semiHidden/>
    <w:unhideWhenUsed/>
    <w:rsid w:val="006558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5810"/>
    <w:rPr>
      <w:rFonts w:ascii="Segoe UI" w:hAnsi="Segoe UI" w:cs="Segoe UI"/>
      <w:sz w:val="18"/>
      <w:szCs w:val="18"/>
    </w:rPr>
  </w:style>
  <w:style w:type="table" w:styleId="TableGrid">
    <w:name w:val="Table Grid"/>
    <w:basedOn w:val="TableNormal"/>
    <w:uiPriority w:val="39"/>
    <w:rsid w:val="0029588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46F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6F15"/>
  </w:style>
  <w:style w:type="paragraph" w:styleId="Footer">
    <w:name w:val="footer"/>
    <w:basedOn w:val="Normal"/>
    <w:link w:val="FooterChar"/>
    <w:uiPriority w:val="99"/>
    <w:unhideWhenUsed/>
    <w:rsid w:val="00246F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6F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23259">
      <w:bodyDiv w:val="1"/>
      <w:marLeft w:val="0"/>
      <w:marRight w:val="0"/>
      <w:marTop w:val="0"/>
      <w:marBottom w:val="0"/>
      <w:divBdr>
        <w:top w:val="none" w:sz="0" w:space="0" w:color="auto"/>
        <w:left w:val="none" w:sz="0" w:space="0" w:color="auto"/>
        <w:bottom w:val="none" w:sz="0" w:space="0" w:color="auto"/>
        <w:right w:val="none" w:sz="0" w:space="0" w:color="auto"/>
      </w:divBdr>
      <w:divsChild>
        <w:div w:id="297492479">
          <w:marLeft w:val="547"/>
          <w:marRight w:val="0"/>
          <w:marTop w:val="154"/>
          <w:marBottom w:val="0"/>
          <w:divBdr>
            <w:top w:val="none" w:sz="0" w:space="0" w:color="auto"/>
            <w:left w:val="none" w:sz="0" w:space="0" w:color="auto"/>
            <w:bottom w:val="none" w:sz="0" w:space="0" w:color="auto"/>
            <w:right w:val="none" w:sz="0" w:space="0" w:color="auto"/>
          </w:divBdr>
        </w:div>
        <w:div w:id="482620050">
          <w:marLeft w:val="547"/>
          <w:marRight w:val="0"/>
          <w:marTop w:val="154"/>
          <w:marBottom w:val="0"/>
          <w:divBdr>
            <w:top w:val="none" w:sz="0" w:space="0" w:color="auto"/>
            <w:left w:val="none" w:sz="0" w:space="0" w:color="auto"/>
            <w:bottom w:val="none" w:sz="0" w:space="0" w:color="auto"/>
            <w:right w:val="none" w:sz="0" w:space="0" w:color="auto"/>
          </w:divBdr>
        </w:div>
        <w:div w:id="1820225424">
          <w:marLeft w:val="547"/>
          <w:marRight w:val="0"/>
          <w:marTop w:val="154"/>
          <w:marBottom w:val="0"/>
          <w:divBdr>
            <w:top w:val="none" w:sz="0" w:space="0" w:color="auto"/>
            <w:left w:val="none" w:sz="0" w:space="0" w:color="auto"/>
            <w:bottom w:val="none" w:sz="0" w:space="0" w:color="auto"/>
            <w:right w:val="none" w:sz="0" w:space="0" w:color="auto"/>
          </w:divBdr>
        </w:div>
        <w:div w:id="921790230">
          <w:marLeft w:val="547"/>
          <w:marRight w:val="0"/>
          <w:marTop w:val="154"/>
          <w:marBottom w:val="0"/>
          <w:divBdr>
            <w:top w:val="none" w:sz="0" w:space="0" w:color="auto"/>
            <w:left w:val="none" w:sz="0" w:space="0" w:color="auto"/>
            <w:bottom w:val="none" w:sz="0" w:space="0" w:color="auto"/>
            <w:right w:val="none" w:sz="0" w:space="0" w:color="auto"/>
          </w:divBdr>
        </w:div>
        <w:div w:id="45645699">
          <w:marLeft w:val="547"/>
          <w:marRight w:val="0"/>
          <w:marTop w:val="154"/>
          <w:marBottom w:val="0"/>
          <w:divBdr>
            <w:top w:val="none" w:sz="0" w:space="0" w:color="auto"/>
            <w:left w:val="none" w:sz="0" w:space="0" w:color="auto"/>
            <w:bottom w:val="none" w:sz="0" w:space="0" w:color="auto"/>
            <w:right w:val="none" w:sz="0" w:space="0" w:color="auto"/>
          </w:divBdr>
        </w:div>
        <w:div w:id="1014307475">
          <w:marLeft w:val="547"/>
          <w:marRight w:val="0"/>
          <w:marTop w:val="154"/>
          <w:marBottom w:val="0"/>
          <w:divBdr>
            <w:top w:val="none" w:sz="0" w:space="0" w:color="auto"/>
            <w:left w:val="none" w:sz="0" w:space="0" w:color="auto"/>
            <w:bottom w:val="none" w:sz="0" w:space="0" w:color="auto"/>
            <w:right w:val="none" w:sz="0" w:space="0" w:color="auto"/>
          </w:divBdr>
        </w:div>
      </w:divsChild>
    </w:div>
    <w:div w:id="132217631">
      <w:bodyDiv w:val="1"/>
      <w:marLeft w:val="0"/>
      <w:marRight w:val="0"/>
      <w:marTop w:val="0"/>
      <w:marBottom w:val="0"/>
      <w:divBdr>
        <w:top w:val="none" w:sz="0" w:space="0" w:color="auto"/>
        <w:left w:val="none" w:sz="0" w:space="0" w:color="auto"/>
        <w:bottom w:val="none" w:sz="0" w:space="0" w:color="auto"/>
        <w:right w:val="none" w:sz="0" w:space="0" w:color="auto"/>
      </w:divBdr>
      <w:divsChild>
        <w:div w:id="444540075">
          <w:marLeft w:val="547"/>
          <w:marRight w:val="0"/>
          <w:marTop w:val="154"/>
          <w:marBottom w:val="0"/>
          <w:divBdr>
            <w:top w:val="none" w:sz="0" w:space="0" w:color="auto"/>
            <w:left w:val="none" w:sz="0" w:space="0" w:color="auto"/>
            <w:bottom w:val="none" w:sz="0" w:space="0" w:color="auto"/>
            <w:right w:val="none" w:sz="0" w:space="0" w:color="auto"/>
          </w:divBdr>
        </w:div>
        <w:div w:id="1372610523">
          <w:marLeft w:val="547"/>
          <w:marRight w:val="0"/>
          <w:marTop w:val="154"/>
          <w:marBottom w:val="0"/>
          <w:divBdr>
            <w:top w:val="none" w:sz="0" w:space="0" w:color="auto"/>
            <w:left w:val="none" w:sz="0" w:space="0" w:color="auto"/>
            <w:bottom w:val="none" w:sz="0" w:space="0" w:color="auto"/>
            <w:right w:val="none" w:sz="0" w:space="0" w:color="auto"/>
          </w:divBdr>
        </w:div>
        <w:div w:id="1008868378">
          <w:marLeft w:val="547"/>
          <w:marRight w:val="0"/>
          <w:marTop w:val="154"/>
          <w:marBottom w:val="0"/>
          <w:divBdr>
            <w:top w:val="none" w:sz="0" w:space="0" w:color="auto"/>
            <w:left w:val="none" w:sz="0" w:space="0" w:color="auto"/>
            <w:bottom w:val="none" w:sz="0" w:space="0" w:color="auto"/>
            <w:right w:val="none" w:sz="0" w:space="0" w:color="auto"/>
          </w:divBdr>
        </w:div>
        <w:div w:id="581723050">
          <w:marLeft w:val="547"/>
          <w:marRight w:val="0"/>
          <w:marTop w:val="154"/>
          <w:marBottom w:val="0"/>
          <w:divBdr>
            <w:top w:val="none" w:sz="0" w:space="0" w:color="auto"/>
            <w:left w:val="none" w:sz="0" w:space="0" w:color="auto"/>
            <w:bottom w:val="none" w:sz="0" w:space="0" w:color="auto"/>
            <w:right w:val="none" w:sz="0" w:space="0" w:color="auto"/>
          </w:divBdr>
        </w:div>
      </w:divsChild>
    </w:div>
    <w:div w:id="626814903">
      <w:bodyDiv w:val="1"/>
      <w:marLeft w:val="0"/>
      <w:marRight w:val="0"/>
      <w:marTop w:val="0"/>
      <w:marBottom w:val="0"/>
      <w:divBdr>
        <w:top w:val="none" w:sz="0" w:space="0" w:color="auto"/>
        <w:left w:val="none" w:sz="0" w:space="0" w:color="auto"/>
        <w:bottom w:val="none" w:sz="0" w:space="0" w:color="auto"/>
        <w:right w:val="none" w:sz="0" w:space="0" w:color="auto"/>
      </w:divBdr>
      <w:divsChild>
        <w:div w:id="1789398679">
          <w:marLeft w:val="547"/>
          <w:marRight w:val="0"/>
          <w:marTop w:val="120"/>
          <w:marBottom w:val="0"/>
          <w:divBdr>
            <w:top w:val="none" w:sz="0" w:space="0" w:color="auto"/>
            <w:left w:val="none" w:sz="0" w:space="0" w:color="auto"/>
            <w:bottom w:val="none" w:sz="0" w:space="0" w:color="auto"/>
            <w:right w:val="none" w:sz="0" w:space="0" w:color="auto"/>
          </w:divBdr>
        </w:div>
        <w:div w:id="683630644">
          <w:marLeft w:val="1166"/>
          <w:marRight w:val="0"/>
          <w:marTop w:val="106"/>
          <w:marBottom w:val="0"/>
          <w:divBdr>
            <w:top w:val="none" w:sz="0" w:space="0" w:color="auto"/>
            <w:left w:val="none" w:sz="0" w:space="0" w:color="auto"/>
            <w:bottom w:val="none" w:sz="0" w:space="0" w:color="auto"/>
            <w:right w:val="none" w:sz="0" w:space="0" w:color="auto"/>
          </w:divBdr>
        </w:div>
        <w:div w:id="947737651">
          <w:marLeft w:val="547"/>
          <w:marRight w:val="0"/>
          <w:marTop w:val="120"/>
          <w:marBottom w:val="0"/>
          <w:divBdr>
            <w:top w:val="none" w:sz="0" w:space="0" w:color="auto"/>
            <w:left w:val="none" w:sz="0" w:space="0" w:color="auto"/>
            <w:bottom w:val="none" w:sz="0" w:space="0" w:color="auto"/>
            <w:right w:val="none" w:sz="0" w:space="0" w:color="auto"/>
          </w:divBdr>
        </w:div>
        <w:div w:id="587036337">
          <w:marLeft w:val="1166"/>
          <w:marRight w:val="0"/>
          <w:marTop w:val="106"/>
          <w:marBottom w:val="0"/>
          <w:divBdr>
            <w:top w:val="none" w:sz="0" w:space="0" w:color="auto"/>
            <w:left w:val="none" w:sz="0" w:space="0" w:color="auto"/>
            <w:bottom w:val="none" w:sz="0" w:space="0" w:color="auto"/>
            <w:right w:val="none" w:sz="0" w:space="0" w:color="auto"/>
          </w:divBdr>
        </w:div>
        <w:div w:id="2108384859">
          <w:marLeft w:val="547"/>
          <w:marRight w:val="0"/>
          <w:marTop w:val="120"/>
          <w:marBottom w:val="0"/>
          <w:divBdr>
            <w:top w:val="none" w:sz="0" w:space="0" w:color="auto"/>
            <w:left w:val="none" w:sz="0" w:space="0" w:color="auto"/>
            <w:bottom w:val="none" w:sz="0" w:space="0" w:color="auto"/>
            <w:right w:val="none" w:sz="0" w:space="0" w:color="auto"/>
          </w:divBdr>
        </w:div>
        <w:div w:id="674112564">
          <w:marLeft w:val="1166"/>
          <w:marRight w:val="0"/>
          <w:marTop w:val="106"/>
          <w:marBottom w:val="0"/>
          <w:divBdr>
            <w:top w:val="none" w:sz="0" w:space="0" w:color="auto"/>
            <w:left w:val="none" w:sz="0" w:space="0" w:color="auto"/>
            <w:bottom w:val="none" w:sz="0" w:space="0" w:color="auto"/>
            <w:right w:val="none" w:sz="0" w:space="0" w:color="auto"/>
          </w:divBdr>
        </w:div>
        <w:div w:id="724765283">
          <w:marLeft w:val="547"/>
          <w:marRight w:val="0"/>
          <w:marTop w:val="120"/>
          <w:marBottom w:val="0"/>
          <w:divBdr>
            <w:top w:val="none" w:sz="0" w:space="0" w:color="auto"/>
            <w:left w:val="none" w:sz="0" w:space="0" w:color="auto"/>
            <w:bottom w:val="none" w:sz="0" w:space="0" w:color="auto"/>
            <w:right w:val="none" w:sz="0" w:space="0" w:color="auto"/>
          </w:divBdr>
        </w:div>
        <w:div w:id="1846550714">
          <w:marLeft w:val="1166"/>
          <w:marRight w:val="0"/>
          <w:marTop w:val="106"/>
          <w:marBottom w:val="0"/>
          <w:divBdr>
            <w:top w:val="none" w:sz="0" w:space="0" w:color="auto"/>
            <w:left w:val="none" w:sz="0" w:space="0" w:color="auto"/>
            <w:bottom w:val="none" w:sz="0" w:space="0" w:color="auto"/>
            <w:right w:val="none" w:sz="0" w:space="0" w:color="auto"/>
          </w:divBdr>
        </w:div>
        <w:div w:id="682629658">
          <w:marLeft w:val="547"/>
          <w:marRight w:val="0"/>
          <w:marTop w:val="120"/>
          <w:marBottom w:val="0"/>
          <w:divBdr>
            <w:top w:val="none" w:sz="0" w:space="0" w:color="auto"/>
            <w:left w:val="none" w:sz="0" w:space="0" w:color="auto"/>
            <w:bottom w:val="none" w:sz="0" w:space="0" w:color="auto"/>
            <w:right w:val="none" w:sz="0" w:space="0" w:color="auto"/>
          </w:divBdr>
        </w:div>
        <w:div w:id="537477219">
          <w:marLeft w:val="1166"/>
          <w:marRight w:val="0"/>
          <w:marTop w:val="10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763</Words>
  <Characters>4350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5103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Henderson (NHS GOLDEN JUBILEE)</dc:creator>
  <cp:keywords/>
  <dc:description/>
  <cp:lastModifiedBy>Denise Crossan</cp:lastModifiedBy>
  <cp:revision>5</cp:revision>
  <dcterms:created xsi:type="dcterms:W3CDTF">2021-11-24T20:17:00Z</dcterms:created>
  <dcterms:modified xsi:type="dcterms:W3CDTF">2022-01-20T10:34:00Z</dcterms:modified>
</cp:coreProperties>
</file>